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1673A" w14:textId="455D3E1B" w:rsidR="000A4FF8" w:rsidRPr="00902155" w:rsidRDefault="000A4FF8" w:rsidP="000A4FF8">
      <w:pPr>
        <w:pStyle w:val="NoSpacing"/>
        <w:jc w:val="right"/>
        <w:rPr>
          <w:rFonts w:ascii="Arial" w:hAnsi="Arial" w:cs="Arial"/>
          <w:b/>
          <w:bCs/>
        </w:rPr>
      </w:pPr>
      <w:r w:rsidRPr="00902155">
        <w:rPr>
          <w:rFonts w:ascii="Arial" w:hAnsi="Arial" w:cs="Arial"/>
          <w:b/>
          <w:bCs/>
        </w:rPr>
        <w:t>NACRT</w:t>
      </w:r>
    </w:p>
    <w:p w14:paraId="5DE906BB" w14:textId="272A4E7A" w:rsidR="009D0BB6" w:rsidRPr="00902155" w:rsidRDefault="009D0BB6" w:rsidP="009D0BB6">
      <w:pPr>
        <w:pStyle w:val="NoSpacing"/>
        <w:rPr>
          <w:rFonts w:ascii="Arial" w:hAnsi="Arial" w:cs="Arial"/>
        </w:rPr>
      </w:pPr>
      <w:r w:rsidRPr="00902155">
        <w:rPr>
          <w:rFonts w:ascii="Arial" w:hAnsi="Arial" w:cs="Arial"/>
        </w:rPr>
        <w:t>BOSNA I HERCEGOVINA</w:t>
      </w:r>
    </w:p>
    <w:p w14:paraId="4FB42347" w14:textId="77777777" w:rsidR="009D0BB6" w:rsidRPr="00902155" w:rsidRDefault="009D0BB6" w:rsidP="009D0BB6">
      <w:pPr>
        <w:pStyle w:val="NoSpacing"/>
        <w:rPr>
          <w:rFonts w:ascii="Arial" w:hAnsi="Arial" w:cs="Arial"/>
        </w:rPr>
      </w:pPr>
      <w:r w:rsidRPr="00902155">
        <w:rPr>
          <w:rFonts w:ascii="Arial" w:hAnsi="Arial" w:cs="Arial"/>
        </w:rPr>
        <w:t>FEDERACIJA BOSNE I HERCEGOVINE</w:t>
      </w:r>
    </w:p>
    <w:p w14:paraId="4CBA317C" w14:textId="77777777" w:rsidR="009D0BB6" w:rsidRPr="00902155" w:rsidRDefault="009D0BB6" w:rsidP="009D0BB6">
      <w:pPr>
        <w:pStyle w:val="NoSpacing"/>
        <w:rPr>
          <w:rFonts w:ascii="Arial" w:hAnsi="Arial" w:cs="Arial"/>
        </w:rPr>
      </w:pPr>
      <w:r w:rsidRPr="00902155">
        <w:rPr>
          <w:rFonts w:ascii="Arial" w:hAnsi="Arial" w:cs="Arial"/>
        </w:rPr>
        <w:t>AGENCIJA ZA NADZOR OSIGURANJA</w:t>
      </w:r>
    </w:p>
    <w:p w14:paraId="740947FA" w14:textId="1E0941F5" w:rsidR="009D0BB6" w:rsidRPr="00902155" w:rsidRDefault="009D0BB6" w:rsidP="009D0BB6">
      <w:pPr>
        <w:pStyle w:val="NoSpacing"/>
        <w:rPr>
          <w:rFonts w:ascii="Arial" w:hAnsi="Arial" w:cs="Arial"/>
        </w:rPr>
      </w:pPr>
      <w:r w:rsidRPr="00902155">
        <w:rPr>
          <w:rFonts w:ascii="Arial" w:hAnsi="Arial" w:cs="Arial"/>
        </w:rPr>
        <w:t>FEDERACIJE BOSNE I HERCEGOVINE</w:t>
      </w:r>
    </w:p>
    <w:p w14:paraId="3DEFAA40" w14:textId="4A664057" w:rsidR="009D0BB6" w:rsidRPr="00902155" w:rsidRDefault="009D0BB6" w:rsidP="009D0BB6">
      <w:pPr>
        <w:pStyle w:val="NoSpacing"/>
        <w:rPr>
          <w:rFonts w:ascii="Arial" w:hAnsi="Arial" w:cs="Arial"/>
        </w:rPr>
      </w:pPr>
      <w:r w:rsidRPr="00902155">
        <w:rPr>
          <w:rFonts w:ascii="Arial" w:hAnsi="Arial" w:cs="Arial"/>
        </w:rPr>
        <w:t>S A R A J E V O</w:t>
      </w:r>
    </w:p>
    <w:p w14:paraId="74F8C47A" w14:textId="77777777" w:rsidR="009D0BB6" w:rsidRPr="00902155" w:rsidRDefault="009D0BB6" w:rsidP="009D0BB6">
      <w:pPr>
        <w:pStyle w:val="NoSpacing"/>
        <w:rPr>
          <w:rFonts w:ascii="Arial" w:hAnsi="Arial" w:cs="Arial"/>
        </w:rPr>
      </w:pPr>
    </w:p>
    <w:p w14:paraId="64DB134A" w14:textId="77777777" w:rsidR="009D0BB6" w:rsidRPr="00902155" w:rsidRDefault="009D0BB6" w:rsidP="005C44F9">
      <w:pPr>
        <w:pStyle w:val="NoSpacing"/>
        <w:rPr>
          <w:rFonts w:ascii="Arial" w:hAnsi="Arial" w:cs="Arial"/>
        </w:rPr>
      </w:pPr>
    </w:p>
    <w:p w14:paraId="4813D421" w14:textId="0A9850E8" w:rsidR="007A0B5E" w:rsidRPr="00902155" w:rsidRDefault="005C44F9" w:rsidP="000A4FF8">
      <w:pPr>
        <w:pStyle w:val="NoSpacing"/>
        <w:jc w:val="both"/>
        <w:rPr>
          <w:rFonts w:ascii="Arial" w:hAnsi="Arial" w:cs="Arial"/>
        </w:rPr>
      </w:pPr>
      <w:r w:rsidRPr="00902155">
        <w:rPr>
          <w:rFonts w:ascii="Arial" w:hAnsi="Arial" w:cs="Arial"/>
        </w:rPr>
        <w:t xml:space="preserve">Na osnovu čl. 128. stav (2) tačka i) i 130. stav (1) tačka b) Zakona o osiguranju („Službene novine Federacije BiH“, br. 23/17 i 103/21), čl. 93. stav (1) tačka c) i 101. stav (2) Zakona o sprečavanju pranja novca i finansiranja terorističkih aktivnosti („Službeni glasnik BiH“, broj 13/24), člana 4. Pravilnika o provođenju </w:t>
      </w:r>
      <w:r w:rsidR="00E8154F">
        <w:rPr>
          <w:rFonts w:ascii="Arial" w:hAnsi="Arial" w:cs="Arial"/>
        </w:rPr>
        <w:t>Z</w:t>
      </w:r>
      <w:r w:rsidRPr="00902155">
        <w:rPr>
          <w:rFonts w:ascii="Arial" w:hAnsi="Arial" w:cs="Arial"/>
        </w:rPr>
        <w:t xml:space="preserve">akona o sprečavanju pranja novca i finansiranja terorističkih aktivnosti („Službeni glasnik BiH“, broj 8/26) i člana 12. Statuta Agencije za nadzor osiguranja Federacije Bosne i Hercegovine („Službene novine Federacije BiH", broj 84/17), Stručni savjet Agencije za nadzor osiguranja Federacije Bosne i Hercegovine na __. sjednici održanoj __.__._______. godine, d o n o s i </w:t>
      </w:r>
    </w:p>
    <w:p w14:paraId="30124B8A" w14:textId="77777777" w:rsidR="005C44F9" w:rsidRPr="00902155" w:rsidRDefault="005C44F9" w:rsidP="005C44F9">
      <w:pPr>
        <w:pStyle w:val="NoSpacing"/>
        <w:rPr>
          <w:rFonts w:ascii="Arial" w:hAnsi="Arial" w:cs="Arial"/>
        </w:rPr>
      </w:pPr>
    </w:p>
    <w:p w14:paraId="72C2D521" w14:textId="77777777" w:rsidR="005C44F9" w:rsidRPr="00902155" w:rsidRDefault="005C44F9" w:rsidP="005C44F9">
      <w:pPr>
        <w:pStyle w:val="NoSpacing"/>
        <w:rPr>
          <w:rFonts w:ascii="Arial" w:hAnsi="Arial" w:cs="Arial"/>
        </w:rPr>
      </w:pPr>
    </w:p>
    <w:p w14:paraId="6FE2467C" w14:textId="377735BF" w:rsidR="005C44F9" w:rsidRPr="00902155" w:rsidRDefault="005C44F9" w:rsidP="00AD1A2F">
      <w:pPr>
        <w:pStyle w:val="NoSpacing"/>
        <w:jc w:val="center"/>
        <w:rPr>
          <w:rFonts w:ascii="Arial" w:hAnsi="Arial" w:cs="Arial"/>
        </w:rPr>
      </w:pPr>
      <w:r w:rsidRPr="00902155">
        <w:rPr>
          <w:rFonts w:ascii="Arial" w:hAnsi="Arial" w:cs="Arial"/>
        </w:rPr>
        <w:t>S M J E R N I C E</w:t>
      </w:r>
    </w:p>
    <w:p w14:paraId="56B70276" w14:textId="6AF08614" w:rsidR="005C44F9" w:rsidRPr="00902155" w:rsidRDefault="005C44F9" w:rsidP="00AD1A2F">
      <w:pPr>
        <w:pStyle w:val="NoSpacing"/>
        <w:jc w:val="center"/>
        <w:rPr>
          <w:rFonts w:ascii="Arial" w:hAnsi="Arial" w:cs="Arial"/>
        </w:rPr>
      </w:pPr>
      <w:r w:rsidRPr="00902155">
        <w:rPr>
          <w:rFonts w:ascii="Arial" w:hAnsi="Arial" w:cs="Arial"/>
        </w:rPr>
        <w:t>O IZMJENAMA I DOPUNAMA SMJERNICA O UPRAVLJANJU I POSTUPKU ANALIZE I PROCJENE RIZIKA OD PRANJA NOVCA I FINANSIRANJA TERORISTIČKIH AKTIVNOSTI U OSIGURANJU</w:t>
      </w:r>
    </w:p>
    <w:p w14:paraId="05299267" w14:textId="77777777" w:rsidR="005C44F9" w:rsidRPr="00902155" w:rsidRDefault="005C44F9" w:rsidP="00AD1A2F">
      <w:pPr>
        <w:pStyle w:val="NoSpacing"/>
        <w:jc w:val="both"/>
        <w:rPr>
          <w:rFonts w:ascii="Arial" w:hAnsi="Arial" w:cs="Arial"/>
          <w:color w:val="EE0000"/>
        </w:rPr>
      </w:pPr>
    </w:p>
    <w:p w14:paraId="4D5CE4D0" w14:textId="77777777" w:rsidR="005C44F9" w:rsidRPr="00902155" w:rsidRDefault="005C44F9" w:rsidP="00AD1A2F">
      <w:pPr>
        <w:pStyle w:val="NoSpacing"/>
        <w:jc w:val="both"/>
        <w:rPr>
          <w:rFonts w:ascii="Arial" w:hAnsi="Arial" w:cs="Arial"/>
          <w:color w:val="EE0000"/>
        </w:rPr>
      </w:pPr>
    </w:p>
    <w:p w14:paraId="11196931" w14:textId="18C205CD" w:rsidR="009D0BB6" w:rsidRPr="009006AD" w:rsidRDefault="005C44F9" w:rsidP="0075123B">
      <w:pPr>
        <w:pStyle w:val="NoSpacing"/>
        <w:jc w:val="center"/>
        <w:rPr>
          <w:rFonts w:ascii="Arial" w:hAnsi="Arial" w:cs="Arial"/>
        </w:rPr>
      </w:pPr>
      <w:r w:rsidRPr="009006AD">
        <w:rPr>
          <w:rFonts w:ascii="Arial" w:hAnsi="Arial" w:cs="Arial"/>
        </w:rPr>
        <w:t>Član 1.</w:t>
      </w:r>
    </w:p>
    <w:p w14:paraId="2638F62E" w14:textId="797CE8E2" w:rsidR="005C44F9" w:rsidRPr="00902155" w:rsidRDefault="00AD1A2F" w:rsidP="00CF52C4">
      <w:pPr>
        <w:pStyle w:val="NoSpacing"/>
        <w:jc w:val="both"/>
        <w:rPr>
          <w:rFonts w:ascii="Arial" w:hAnsi="Arial" w:cs="Arial"/>
        </w:rPr>
      </w:pPr>
      <w:r w:rsidRPr="00902155">
        <w:rPr>
          <w:rFonts w:ascii="Arial" w:hAnsi="Arial" w:cs="Arial"/>
        </w:rPr>
        <w:t>U Smjernicama o upravljanju i postupku analize i procjene rizika od pranja novca i finansiranja terorističkih aktivnosti u osiguranju („Službene novine Federacije BiH</w:t>
      </w:r>
      <w:r w:rsidR="00E8154F">
        <w:rPr>
          <w:rFonts w:ascii="Arial" w:hAnsi="Arial" w:cs="Arial"/>
        </w:rPr>
        <w:t>“</w:t>
      </w:r>
      <w:r w:rsidRPr="00902155">
        <w:rPr>
          <w:rFonts w:ascii="Arial" w:hAnsi="Arial" w:cs="Arial"/>
        </w:rPr>
        <w:t>, broj 96/25)</w:t>
      </w:r>
      <w:r w:rsidR="000A4FF8" w:rsidRPr="00902155">
        <w:rPr>
          <w:rFonts w:ascii="Arial" w:hAnsi="Arial" w:cs="Arial"/>
        </w:rPr>
        <w:t xml:space="preserve"> u</w:t>
      </w:r>
      <w:r w:rsidRPr="00902155">
        <w:rPr>
          <w:rFonts w:ascii="Arial" w:hAnsi="Arial" w:cs="Arial"/>
        </w:rPr>
        <w:t xml:space="preserve"> </w:t>
      </w:r>
      <w:r w:rsidR="000A4FF8" w:rsidRPr="00902155">
        <w:rPr>
          <w:rFonts w:ascii="Arial" w:hAnsi="Arial" w:cs="Arial"/>
        </w:rPr>
        <w:t xml:space="preserve">članu 1. </w:t>
      </w:r>
      <w:r w:rsidR="00CF52C4" w:rsidRPr="00902155">
        <w:rPr>
          <w:rFonts w:ascii="Arial" w:hAnsi="Arial" w:cs="Arial"/>
        </w:rPr>
        <w:t xml:space="preserve">na kraju teksta, iza riječi: „Zakona o sprečavanju pranja novca i finansiranja terorističkih aktivnosti“ dodaju se riječi: „i Pravilnika o provođenju </w:t>
      </w:r>
      <w:r w:rsidR="00E8154F">
        <w:rPr>
          <w:rFonts w:ascii="Arial" w:hAnsi="Arial" w:cs="Arial"/>
        </w:rPr>
        <w:t>Z</w:t>
      </w:r>
      <w:r w:rsidR="00CF52C4" w:rsidRPr="00902155">
        <w:rPr>
          <w:rFonts w:ascii="Arial" w:hAnsi="Arial" w:cs="Arial"/>
        </w:rPr>
        <w:t>akona o sprečavanju pranja novca i finansiranja terorističkih aktivnosti</w:t>
      </w:r>
      <w:r w:rsidR="00E62BB4" w:rsidRPr="00902155">
        <w:rPr>
          <w:rFonts w:ascii="Arial" w:hAnsi="Arial" w:cs="Arial"/>
        </w:rPr>
        <w:t>“</w:t>
      </w:r>
      <w:r w:rsidR="00CF52C4" w:rsidRPr="00902155">
        <w:rPr>
          <w:rFonts w:ascii="Arial" w:hAnsi="Arial" w:cs="Arial"/>
        </w:rPr>
        <w:t>.</w:t>
      </w:r>
      <w:r w:rsidR="000A4FF8" w:rsidRPr="00902155">
        <w:rPr>
          <w:rFonts w:ascii="Arial" w:hAnsi="Arial" w:cs="Arial"/>
        </w:rPr>
        <w:t xml:space="preserve"> </w:t>
      </w:r>
    </w:p>
    <w:p w14:paraId="54803DB6" w14:textId="77777777" w:rsidR="006F5FD8" w:rsidRPr="00902155" w:rsidRDefault="006F5FD8" w:rsidP="00CF52C4">
      <w:pPr>
        <w:pStyle w:val="NoSpacing"/>
        <w:jc w:val="both"/>
        <w:rPr>
          <w:rFonts w:ascii="Arial" w:hAnsi="Arial" w:cs="Arial"/>
        </w:rPr>
      </w:pPr>
    </w:p>
    <w:p w14:paraId="2639ACEC" w14:textId="7F18F347" w:rsidR="0075123B" w:rsidRPr="009006AD" w:rsidRDefault="00E62BB4" w:rsidP="00947723">
      <w:pPr>
        <w:pStyle w:val="NoSpacing"/>
        <w:jc w:val="center"/>
        <w:rPr>
          <w:rFonts w:ascii="Arial" w:hAnsi="Arial" w:cs="Arial"/>
        </w:rPr>
      </w:pPr>
      <w:r w:rsidRPr="009006AD">
        <w:rPr>
          <w:rFonts w:ascii="Arial" w:hAnsi="Arial" w:cs="Arial"/>
        </w:rPr>
        <w:t>Član 2.</w:t>
      </w:r>
    </w:p>
    <w:p w14:paraId="3385FEDF" w14:textId="77777777" w:rsidR="00924631" w:rsidRPr="00902155" w:rsidRDefault="00924631" w:rsidP="00947723">
      <w:pPr>
        <w:pStyle w:val="NoSpacing"/>
        <w:jc w:val="both"/>
        <w:rPr>
          <w:rFonts w:ascii="Arial" w:hAnsi="Arial" w:cs="Arial"/>
        </w:rPr>
      </w:pPr>
      <w:r w:rsidRPr="00902155">
        <w:rPr>
          <w:rFonts w:ascii="Arial" w:hAnsi="Arial" w:cs="Arial"/>
        </w:rPr>
        <w:t xml:space="preserve">U članu 3. stav (2) iza tačke 4) dodaje se nova tačka 5) koja glasi: </w:t>
      </w:r>
    </w:p>
    <w:p w14:paraId="0A451D45" w14:textId="4E637B80" w:rsidR="00924631" w:rsidRPr="00902155" w:rsidRDefault="00924631" w:rsidP="00947723">
      <w:pPr>
        <w:pStyle w:val="NoSpacing"/>
        <w:jc w:val="both"/>
        <w:rPr>
          <w:rFonts w:ascii="Arial" w:hAnsi="Arial" w:cs="Arial"/>
        </w:rPr>
      </w:pPr>
      <w:r w:rsidRPr="00902155">
        <w:rPr>
          <w:rFonts w:ascii="Arial" w:hAnsi="Arial" w:cs="Arial"/>
        </w:rPr>
        <w:t xml:space="preserve">„5) Pravilnik - Pravilnik o provođenju </w:t>
      </w:r>
      <w:r w:rsidR="00947723">
        <w:rPr>
          <w:rFonts w:ascii="Arial" w:hAnsi="Arial" w:cs="Arial"/>
        </w:rPr>
        <w:t>Z</w:t>
      </w:r>
      <w:r w:rsidRPr="00902155">
        <w:rPr>
          <w:rFonts w:ascii="Arial" w:hAnsi="Arial" w:cs="Arial"/>
        </w:rPr>
        <w:t>akona o sprečavanju pranja novca i finansiranja terorističkih aktivnosti („Službeni glasnik Bosne i Hercegovine“, broj 8/26)</w:t>
      </w:r>
      <w:r w:rsidR="00947723">
        <w:rPr>
          <w:rFonts w:ascii="Arial" w:hAnsi="Arial" w:cs="Arial"/>
        </w:rPr>
        <w:t>;</w:t>
      </w:r>
      <w:r w:rsidRPr="00902155">
        <w:rPr>
          <w:rFonts w:ascii="Arial" w:hAnsi="Arial" w:cs="Arial"/>
        </w:rPr>
        <w:t>“</w:t>
      </w:r>
    </w:p>
    <w:p w14:paraId="14C97C54" w14:textId="77777777" w:rsidR="00947723" w:rsidRDefault="00947723" w:rsidP="00947723">
      <w:pPr>
        <w:pStyle w:val="NoSpacing"/>
        <w:jc w:val="both"/>
        <w:rPr>
          <w:rFonts w:ascii="Arial" w:hAnsi="Arial" w:cs="Arial"/>
        </w:rPr>
      </w:pPr>
    </w:p>
    <w:p w14:paraId="07542CF8" w14:textId="70F59D37" w:rsidR="00CF52C4" w:rsidRPr="00902155" w:rsidRDefault="00C33161" w:rsidP="00B21F19">
      <w:pPr>
        <w:pStyle w:val="NoSpacing"/>
        <w:jc w:val="both"/>
        <w:rPr>
          <w:rFonts w:ascii="Arial" w:hAnsi="Arial" w:cs="Arial"/>
        </w:rPr>
      </w:pPr>
      <w:r w:rsidRPr="00902155">
        <w:rPr>
          <w:rFonts w:ascii="Arial" w:hAnsi="Arial" w:cs="Arial"/>
        </w:rPr>
        <w:t>Dosadašnje tačke 5) do 2</w:t>
      </w:r>
      <w:r w:rsidR="00B21F19">
        <w:rPr>
          <w:rFonts w:ascii="Arial" w:hAnsi="Arial" w:cs="Arial"/>
        </w:rPr>
        <w:t>5</w:t>
      </w:r>
      <w:r w:rsidRPr="00902155">
        <w:rPr>
          <w:rFonts w:ascii="Arial" w:hAnsi="Arial" w:cs="Arial"/>
        </w:rPr>
        <w:t>) postaju tačke 6) do 2</w:t>
      </w:r>
      <w:r w:rsidR="00B21F19">
        <w:rPr>
          <w:rFonts w:ascii="Arial" w:hAnsi="Arial" w:cs="Arial"/>
        </w:rPr>
        <w:t>6</w:t>
      </w:r>
      <w:r w:rsidRPr="00902155">
        <w:rPr>
          <w:rFonts w:ascii="Arial" w:hAnsi="Arial" w:cs="Arial"/>
        </w:rPr>
        <w:t>).</w:t>
      </w:r>
    </w:p>
    <w:p w14:paraId="287D6D59" w14:textId="77777777" w:rsidR="00C33161" w:rsidRPr="009006AD" w:rsidRDefault="00C33161" w:rsidP="00CF52C4">
      <w:pPr>
        <w:pStyle w:val="NoSpacing"/>
        <w:jc w:val="both"/>
        <w:rPr>
          <w:rFonts w:ascii="Arial" w:hAnsi="Arial" w:cs="Arial"/>
        </w:rPr>
      </w:pPr>
    </w:p>
    <w:p w14:paraId="688303A8" w14:textId="40B09614" w:rsidR="00E62BB4" w:rsidRPr="009006AD" w:rsidRDefault="00EF0828" w:rsidP="00EF0828">
      <w:pPr>
        <w:pStyle w:val="NoSpacing"/>
        <w:jc w:val="center"/>
        <w:rPr>
          <w:rFonts w:ascii="Arial" w:hAnsi="Arial" w:cs="Arial"/>
        </w:rPr>
      </w:pPr>
      <w:r w:rsidRPr="009006AD">
        <w:rPr>
          <w:rFonts w:ascii="Arial" w:hAnsi="Arial" w:cs="Arial"/>
        </w:rPr>
        <w:t xml:space="preserve">Član 3. </w:t>
      </w:r>
    </w:p>
    <w:p w14:paraId="5BE58A11" w14:textId="64454088" w:rsidR="00EF0828" w:rsidRPr="00902155" w:rsidRDefault="00EF0828" w:rsidP="00EF0828">
      <w:pPr>
        <w:pStyle w:val="NoSpacing"/>
        <w:jc w:val="both"/>
        <w:rPr>
          <w:rFonts w:ascii="Arial" w:hAnsi="Arial" w:cs="Arial"/>
        </w:rPr>
      </w:pPr>
      <w:r w:rsidRPr="00902155">
        <w:rPr>
          <w:rFonts w:ascii="Arial" w:hAnsi="Arial" w:cs="Arial"/>
        </w:rPr>
        <w:t xml:space="preserve">Iza člana 6. dodaje se novi član 6a. koji glasi: </w:t>
      </w:r>
    </w:p>
    <w:p w14:paraId="189B160A" w14:textId="35FA3430" w:rsidR="00EF0828" w:rsidRPr="00902155" w:rsidRDefault="00EF0828" w:rsidP="00EF0828">
      <w:pPr>
        <w:autoSpaceDE w:val="0"/>
        <w:autoSpaceDN w:val="0"/>
        <w:adjustRightInd w:val="0"/>
        <w:spacing w:before="120" w:after="120" w:line="240" w:lineRule="auto"/>
        <w:jc w:val="center"/>
        <w:rPr>
          <w:rFonts w:ascii="Arial" w:hAnsi="Arial" w:cs="Arial"/>
          <w:b/>
          <w:bCs/>
          <w:color w:val="000000" w:themeColor="text1"/>
        </w:rPr>
      </w:pPr>
      <w:r w:rsidRPr="00902155">
        <w:rPr>
          <w:rFonts w:ascii="Arial" w:hAnsi="Arial" w:cs="Arial"/>
        </w:rPr>
        <w:t>„</w:t>
      </w:r>
      <w:r w:rsidRPr="00902155">
        <w:rPr>
          <w:rFonts w:ascii="Arial" w:hAnsi="Arial" w:cs="Arial"/>
          <w:color w:val="000000" w:themeColor="text1"/>
        </w:rPr>
        <w:t>Podaci i dokumentacija za registraciju ovlaštenog lica/obveznika u AMLS sistem</w:t>
      </w:r>
    </w:p>
    <w:p w14:paraId="10A94A5D" w14:textId="77777777" w:rsidR="00EF0828" w:rsidRPr="00902155" w:rsidRDefault="00EF0828" w:rsidP="00EF0828">
      <w:pPr>
        <w:autoSpaceDE w:val="0"/>
        <w:autoSpaceDN w:val="0"/>
        <w:adjustRightInd w:val="0"/>
        <w:spacing w:before="120" w:after="120" w:line="240" w:lineRule="auto"/>
        <w:jc w:val="center"/>
        <w:rPr>
          <w:rFonts w:ascii="Arial" w:hAnsi="Arial" w:cs="Arial"/>
          <w:color w:val="000000" w:themeColor="text1"/>
        </w:rPr>
      </w:pPr>
      <w:r w:rsidRPr="00902155">
        <w:rPr>
          <w:rFonts w:ascii="Arial" w:hAnsi="Arial" w:cs="Arial"/>
          <w:color w:val="000000" w:themeColor="text1"/>
        </w:rPr>
        <w:t>Član 6a.</w:t>
      </w:r>
    </w:p>
    <w:p w14:paraId="07D9BC67" w14:textId="08B94407" w:rsidR="00C33161" w:rsidRPr="00902155" w:rsidRDefault="00C33161" w:rsidP="00C33161">
      <w:pPr>
        <w:pStyle w:val="ListParagraph"/>
        <w:numPr>
          <w:ilvl w:val="0"/>
          <w:numId w:val="4"/>
        </w:numPr>
        <w:autoSpaceDE w:val="0"/>
        <w:autoSpaceDN w:val="0"/>
        <w:adjustRightInd w:val="0"/>
        <w:spacing w:before="120" w:after="120" w:line="240" w:lineRule="auto"/>
        <w:jc w:val="both"/>
        <w:rPr>
          <w:rFonts w:ascii="Arial" w:hAnsi="Arial" w:cs="Arial"/>
          <w:color w:val="000000" w:themeColor="text1"/>
        </w:rPr>
      </w:pPr>
      <w:r w:rsidRPr="00902155">
        <w:rPr>
          <w:rFonts w:ascii="Arial" w:hAnsi="Arial" w:cs="Arial"/>
          <w:color w:val="000000" w:themeColor="text1"/>
        </w:rPr>
        <w:t>Radi registracije obveznika u AMLS sistem, obveznik iz člana 2. ovih Smjernica je dužan FOO</w:t>
      </w:r>
      <w:r w:rsidR="00947723">
        <w:rPr>
          <w:rFonts w:ascii="Arial" w:hAnsi="Arial" w:cs="Arial"/>
          <w:color w:val="000000" w:themeColor="text1"/>
        </w:rPr>
        <w:t>-u</w:t>
      </w:r>
      <w:r w:rsidRPr="00902155">
        <w:rPr>
          <w:rFonts w:ascii="Arial" w:hAnsi="Arial" w:cs="Arial"/>
          <w:color w:val="000000" w:themeColor="text1"/>
        </w:rPr>
        <w:t xml:space="preserve"> dostaviti odluku o imenovanju ili promjeni ovlaštenog lica i zamjenika koja mora sadržavati sljedeće podatke:</w:t>
      </w:r>
    </w:p>
    <w:p w14:paraId="471D70B1" w14:textId="46736E8D" w:rsidR="00C33161" w:rsidRPr="00902155" w:rsidRDefault="00C33161" w:rsidP="00C33161">
      <w:pPr>
        <w:pStyle w:val="ListParagraph"/>
        <w:numPr>
          <w:ilvl w:val="0"/>
          <w:numId w:val="5"/>
        </w:numPr>
        <w:autoSpaceDE w:val="0"/>
        <w:autoSpaceDN w:val="0"/>
        <w:adjustRightInd w:val="0"/>
        <w:spacing w:before="120" w:after="120" w:line="240" w:lineRule="auto"/>
        <w:jc w:val="both"/>
        <w:rPr>
          <w:rFonts w:ascii="Arial" w:hAnsi="Arial" w:cs="Arial"/>
          <w:color w:val="000000" w:themeColor="text1"/>
        </w:rPr>
      </w:pPr>
      <w:r w:rsidRPr="00902155">
        <w:rPr>
          <w:rFonts w:ascii="Arial" w:hAnsi="Arial" w:cs="Arial"/>
          <w:color w:val="000000" w:themeColor="text1"/>
        </w:rPr>
        <w:t>ime i prezime odgovornog lica - člana najvišeg rukovodstva odgovornog za primjenu Zakona o SPN/FTA;</w:t>
      </w:r>
    </w:p>
    <w:p w14:paraId="4F7915C2" w14:textId="40AF48CD" w:rsidR="00C33161" w:rsidRPr="00902155" w:rsidRDefault="00C33161" w:rsidP="00C33161">
      <w:pPr>
        <w:pStyle w:val="ListParagraph"/>
        <w:numPr>
          <w:ilvl w:val="0"/>
          <w:numId w:val="5"/>
        </w:numPr>
        <w:autoSpaceDE w:val="0"/>
        <w:autoSpaceDN w:val="0"/>
        <w:adjustRightInd w:val="0"/>
        <w:spacing w:before="120" w:after="120" w:line="240" w:lineRule="auto"/>
        <w:jc w:val="both"/>
        <w:rPr>
          <w:rFonts w:ascii="Arial" w:hAnsi="Arial" w:cs="Arial"/>
          <w:color w:val="000000" w:themeColor="text1"/>
        </w:rPr>
      </w:pPr>
      <w:r w:rsidRPr="00902155">
        <w:rPr>
          <w:rFonts w:ascii="Arial" w:hAnsi="Arial" w:cs="Arial"/>
          <w:color w:val="000000" w:themeColor="text1"/>
        </w:rPr>
        <w:t>ime i prezime ovlaštenog lica i njegovog zamjenika;</w:t>
      </w:r>
    </w:p>
    <w:p w14:paraId="73449D0C" w14:textId="5564DEEE" w:rsidR="00C33161" w:rsidRPr="00902155" w:rsidRDefault="00C33161" w:rsidP="00C33161">
      <w:pPr>
        <w:pStyle w:val="ListParagraph"/>
        <w:numPr>
          <w:ilvl w:val="0"/>
          <w:numId w:val="5"/>
        </w:numPr>
        <w:autoSpaceDE w:val="0"/>
        <w:autoSpaceDN w:val="0"/>
        <w:adjustRightInd w:val="0"/>
        <w:spacing w:before="120" w:after="120" w:line="240" w:lineRule="auto"/>
        <w:jc w:val="both"/>
        <w:rPr>
          <w:rFonts w:ascii="Arial" w:hAnsi="Arial" w:cs="Arial"/>
          <w:color w:val="000000" w:themeColor="text1"/>
        </w:rPr>
      </w:pPr>
      <w:r w:rsidRPr="00902155">
        <w:rPr>
          <w:rFonts w:ascii="Arial" w:hAnsi="Arial" w:cs="Arial"/>
          <w:color w:val="000000" w:themeColor="text1"/>
        </w:rPr>
        <w:lastRenderedPageBreak/>
        <w:t>kontakt telefon i e</w:t>
      </w:r>
      <w:r w:rsidR="00947723">
        <w:rPr>
          <w:rFonts w:ascii="Arial" w:hAnsi="Arial" w:cs="Arial"/>
          <w:color w:val="000000" w:themeColor="text1"/>
        </w:rPr>
        <w:t>-</w:t>
      </w:r>
      <w:r w:rsidRPr="00902155">
        <w:rPr>
          <w:rFonts w:ascii="Arial" w:hAnsi="Arial" w:cs="Arial"/>
          <w:color w:val="000000" w:themeColor="text1"/>
        </w:rPr>
        <w:t>mail adresu odgovornog lica, ovlaštenog lica i zamjenika ovlaštenog lica;</w:t>
      </w:r>
    </w:p>
    <w:p w14:paraId="2A49D2F1" w14:textId="0EC8CEA6" w:rsidR="00C33161" w:rsidRPr="00902155" w:rsidRDefault="00C33161" w:rsidP="00C33161">
      <w:pPr>
        <w:pStyle w:val="ListParagraph"/>
        <w:numPr>
          <w:ilvl w:val="0"/>
          <w:numId w:val="5"/>
        </w:numPr>
        <w:autoSpaceDE w:val="0"/>
        <w:autoSpaceDN w:val="0"/>
        <w:adjustRightInd w:val="0"/>
        <w:spacing w:before="120" w:after="120" w:line="240" w:lineRule="auto"/>
        <w:jc w:val="both"/>
        <w:rPr>
          <w:rFonts w:ascii="Arial" w:hAnsi="Arial" w:cs="Arial"/>
          <w:color w:val="000000" w:themeColor="text1"/>
        </w:rPr>
      </w:pPr>
      <w:r w:rsidRPr="00902155">
        <w:rPr>
          <w:rFonts w:ascii="Arial" w:hAnsi="Arial" w:cs="Arial"/>
          <w:color w:val="000000" w:themeColor="text1"/>
        </w:rPr>
        <w:t>naziv, adresa i sjedište obveznika;</w:t>
      </w:r>
    </w:p>
    <w:p w14:paraId="6D2E2B82" w14:textId="07C8DBF5" w:rsidR="00C33161" w:rsidRPr="00902155" w:rsidRDefault="00C33161" w:rsidP="00C33161">
      <w:pPr>
        <w:pStyle w:val="ListParagraph"/>
        <w:numPr>
          <w:ilvl w:val="0"/>
          <w:numId w:val="5"/>
        </w:numPr>
        <w:autoSpaceDE w:val="0"/>
        <w:autoSpaceDN w:val="0"/>
        <w:adjustRightInd w:val="0"/>
        <w:spacing w:before="120" w:after="120" w:line="240" w:lineRule="auto"/>
        <w:jc w:val="both"/>
        <w:rPr>
          <w:rFonts w:ascii="Arial" w:hAnsi="Arial" w:cs="Arial"/>
          <w:color w:val="000000" w:themeColor="text1"/>
        </w:rPr>
      </w:pPr>
      <w:r w:rsidRPr="00902155">
        <w:rPr>
          <w:rFonts w:ascii="Arial" w:hAnsi="Arial" w:cs="Arial"/>
          <w:color w:val="000000" w:themeColor="text1"/>
        </w:rPr>
        <w:t>jedinstveni identifikacioni broj (JIB) obveznika.</w:t>
      </w:r>
    </w:p>
    <w:p w14:paraId="1F4810C4" w14:textId="77777777" w:rsidR="00C33161" w:rsidRPr="00902155" w:rsidRDefault="00C33161" w:rsidP="00C33161">
      <w:pPr>
        <w:pStyle w:val="ListParagraph"/>
        <w:autoSpaceDE w:val="0"/>
        <w:autoSpaceDN w:val="0"/>
        <w:adjustRightInd w:val="0"/>
        <w:spacing w:before="120" w:after="120" w:line="240" w:lineRule="auto"/>
        <w:ind w:left="780"/>
        <w:jc w:val="both"/>
        <w:rPr>
          <w:rFonts w:ascii="Arial" w:hAnsi="Arial" w:cs="Arial"/>
          <w:color w:val="000000" w:themeColor="text1"/>
        </w:rPr>
      </w:pPr>
    </w:p>
    <w:p w14:paraId="2AB7F078" w14:textId="36D236EA" w:rsidR="00C33161" w:rsidRPr="00902155" w:rsidRDefault="00C33161" w:rsidP="00C33161">
      <w:pPr>
        <w:pStyle w:val="ListParagraph"/>
        <w:numPr>
          <w:ilvl w:val="0"/>
          <w:numId w:val="4"/>
        </w:numPr>
        <w:autoSpaceDE w:val="0"/>
        <w:autoSpaceDN w:val="0"/>
        <w:adjustRightInd w:val="0"/>
        <w:spacing w:before="120" w:after="120" w:line="240" w:lineRule="auto"/>
        <w:jc w:val="both"/>
        <w:rPr>
          <w:rFonts w:ascii="Arial" w:hAnsi="Arial" w:cs="Arial"/>
          <w:color w:val="000000" w:themeColor="text1"/>
        </w:rPr>
      </w:pPr>
      <w:r w:rsidRPr="00902155">
        <w:rPr>
          <w:rFonts w:ascii="Arial" w:hAnsi="Arial" w:cs="Arial"/>
          <w:color w:val="000000" w:themeColor="text1"/>
        </w:rPr>
        <w:t>Osim podataka iz stava (1) ovog člana obveznik iz člana 2.</w:t>
      </w:r>
      <w:r w:rsidR="00947723">
        <w:rPr>
          <w:rFonts w:ascii="Arial" w:hAnsi="Arial" w:cs="Arial"/>
          <w:color w:val="000000" w:themeColor="text1"/>
        </w:rPr>
        <w:t xml:space="preserve"> stav (1)</w:t>
      </w:r>
      <w:r w:rsidRPr="00902155">
        <w:rPr>
          <w:rFonts w:ascii="Arial" w:hAnsi="Arial" w:cs="Arial"/>
          <w:color w:val="000000" w:themeColor="text1"/>
        </w:rPr>
        <w:t xml:space="preserve"> tačka b) i c) ovih Smjernica je dužan prilikom prve registracije dostaviti FOO-u i:</w:t>
      </w:r>
    </w:p>
    <w:p w14:paraId="3762EE78" w14:textId="5748FCF4" w:rsidR="00C33161" w:rsidRPr="00902155" w:rsidRDefault="00C33161" w:rsidP="00C33161">
      <w:pPr>
        <w:pStyle w:val="ListParagraph"/>
        <w:numPr>
          <w:ilvl w:val="0"/>
          <w:numId w:val="7"/>
        </w:numPr>
        <w:autoSpaceDE w:val="0"/>
        <w:autoSpaceDN w:val="0"/>
        <w:adjustRightInd w:val="0"/>
        <w:spacing w:before="120" w:after="120" w:line="240" w:lineRule="auto"/>
        <w:ind w:hanging="294"/>
        <w:jc w:val="both"/>
        <w:rPr>
          <w:rFonts w:ascii="Arial" w:hAnsi="Arial" w:cs="Arial"/>
          <w:color w:val="000000" w:themeColor="text1"/>
        </w:rPr>
      </w:pPr>
      <w:r w:rsidRPr="00902155">
        <w:rPr>
          <w:rFonts w:ascii="Arial" w:hAnsi="Arial" w:cs="Arial"/>
          <w:color w:val="000000" w:themeColor="text1"/>
        </w:rPr>
        <w:t>kopiju aktuelnog izvoda iz sudskog registra ili rješenje nadležnog organa i</w:t>
      </w:r>
    </w:p>
    <w:p w14:paraId="6AFE195F" w14:textId="20717D16" w:rsidR="00C33161" w:rsidRPr="00902155" w:rsidRDefault="00C33161" w:rsidP="00C33161">
      <w:pPr>
        <w:pStyle w:val="ListParagraph"/>
        <w:numPr>
          <w:ilvl w:val="0"/>
          <w:numId w:val="7"/>
        </w:numPr>
        <w:autoSpaceDE w:val="0"/>
        <w:autoSpaceDN w:val="0"/>
        <w:adjustRightInd w:val="0"/>
        <w:spacing w:before="120" w:after="120" w:line="240" w:lineRule="auto"/>
        <w:ind w:hanging="294"/>
        <w:jc w:val="both"/>
        <w:rPr>
          <w:rFonts w:ascii="Arial" w:hAnsi="Arial" w:cs="Arial"/>
          <w:color w:val="000000" w:themeColor="text1"/>
        </w:rPr>
      </w:pPr>
      <w:r w:rsidRPr="00902155">
        <w:rPr>
          <w:rFonts w:ascii="Arial" w:hAnsi="Arial" w:cs="Arial"/>
          <w:color w:val="000000" w:themeColor="text1"/>
        </w:rPr>
        <w:t>obavijest o razvrstavanju  poslovnog subjekta  prema djelatnosti.</w:t>
      </w:r>
    </w:p>
    <w:p w14:paraId="31203E62" w14:textId="77777777" w:rsidR="00C33161" w:rsidRPr="00902155" w:rsidRDefault="00C33161" w:rsidP="00C33161">
      <w:pPr>
        <w:pStyle w:val="ListParagraph"/>
        <w:autoSpaceDE w:val="0"/>
        <w:autoSpaceDN w:val="0"/>
        <w:adjustRightInd w:val="0"/>
        <w:spacing w:before="120" w:after="120" w:line="240" w:lineRule="auto"/>
        <w:ind w:left="420"/>
        <w:jc w:val="both"/>
        <w:rPr>
          <w:rFonts w:ascii="Arial" w:hAnsi="Arial" w:cs="Arial"/>
          <w:color w:val="000000" w:themeColor="text1"/>
        </w:rPr>
      </w:pPr>
    </w:p>
    <w:p w14:paraId="3D060C98" w14:textId="2C15C4CA" w:rsidR="00C33161" w:rsidRPr="00902155" w:rsidRDefault="00C33161" w:rsidP="00C33161">
      <w:pPr>
        <w:pStyle w:val="ListParagraph"/>
        <w:numPr>
          <w:ilvl w:val="0"/>
          <w:numId w:val="4"/>
        </w:numPr>
        <w:autoSpaceDE w:val="0"/>
        <w:autoSpaceDN w:val="0"/>
        <w:adjustRightInd w:val="0"/>
        <w:spacing w:before="120" w:after="120" w:line="240" w:lineRule="auto"/>
        <w:jc w:val="both"/>
        <w:rPr>
          <w:rFonts w:ascii="Arial" w:hAnsi="Arial" w:cs="Arial"/>
          <w:color w:val="000000" w:themeColor="text1"/>
        </w:rPr>
      </w:pPr>
      <w:r w:rsidRPr="00902155">
        <w:rPr>
          <w:rFonts w:ascii="Arial" w:hAnsi="Arial" w:cs="Arial"/>
          <w:color w:val="000000" w:themeColor="text1"/>
        </w:rPr>
        <w:t>Podatke i dokumentaciju iz st. (1) i (2) ovog člana obveznik je dužan dostaviti FOO putem pošte ili elektronskim putem.</w:t>
      </w:r>
      <w:r w:rsidR="00C052A9">
        <w:rPr>
          <w:rFonts w:ascii="Arial" w:hAnsi="Arial" w:cs="Arial"/>
          <w:color w:val="000000" w:themeColor="text1"/>
        </w:rPr>
        <w:t>“</w:t>
      </w:r>
    </w:p>
    <w:p w14:paraId="5E5D6E0C" w14:textId="77777777" w:rsidR="006F5FD8" w:rsidRPr="009006AD" w:rsidRDefault="006F5FD8" w:rsidP="009006AD">
      <w:pPr>
        <w:pStyle w:val="NoSpacing"/>
        <w:rPr>
          <w:sz w:val="10"/>
          <w:szCs w:val="10"/>
        </w:rPr>
      </w:pPr>
    </w:p>
    <w:p w14:paraId="0F628AB2" w14:textId="0EAC86C3" w:rsidR="006F5FD8" w:rsidRPr="009006AD" w:rsidRDefault="006F5FD8" w:rsidP="009006AD">
      <w:pPr>
        <w:pStyle w:val="NoSpacing"/>
        <w:jc w:val="center"/>
        <w:rPr>
          <w:rFonts w:ascii="Arial" w:hAnsi="Arial" w:cs="Arial"/>
        </w:rPr>
      </w:pPr>
      <w:r w:rsidRPr="009006AD">
        <w:rPr>
          <w:rFonts w:ascii="Arial" w:hAnsi="Arial" w:cs="Arial"/>
        </w:rPr>
        <w:t>Član 4.</w:t>
      </w:r>
    </w:p>
    <w:p w14:paraId="7BB820D2" w14:textId="45B52ED5" w:rsidR="00AE672B" w:rsidRPr="004278AF" w:rsidRDefault="006F5FD8" w:rsidP="009006AD">
      <w:pPr>
        <w:pStyle w:val="NoSpacing"/>
        <w:jc w:val="both"/>
        <w:rPr>
          <w:rFonts w:ascii="Arial" w:hAnsi="Arial" w:cs="Arial"/>
        </w:rPr>
      </w:pPr>
      <w:r w:rsidRPr="004278AF">
        <w:rPr>
          <w:rFonts w:ascii="Arial" w:hAnsi="Arial" w:cs="Arial"/>
        </w:rPr>
        <w:t xml:space="preserve">U članu 7. stav (1) riječ „kontinuisanu“ </w:t>
      </w:r>
      <w:r w:rsidR="003612AB" w:rsidRPr="004278AF">
        <w:rPr>
          <w:rFonts w:ascii="Arial" w:hAnsi="Arial" w:cs="Arial"/>
        </w:rPr>
        <w:t>zam</w:t>
      </w:r>
      <w:r w:rsidRPr="004278AF">
        <w:rPr>
          <w:rFonts w:ascii="Arial" w:hAnsi="Arial" w:cs="Arial"/>
        </w:rPr>
        <w:t>jenj</w:t>
      </w:r>
      <w:r w:rsidR="003612AB" w:rsidRPr="004278AF">
        <w:rPr>
          <w:rFonts w:ascii="Arial" w:hAnsi="Arial" w:cs="Arial"/>
        </w:rPr>
        <w:t>uje</w:t>
      </w:r>
      <w:r w:rsidRPr="004278AF">
        <w:rPr>
          <w:rFonts w:ascii="Arial" w:hAnsi="Arial" w:cs="Arial"/>
        </w:rPr>
        <w:t xml:space="preserve"> se riječju „kontinuiranu“</w:t>
      </w:r>
      <w:r w:rsidR="00AE672B" w:rsidRPr="004278AF">
        <w:rPr>
          <w:rFonts w:ascii="Arial" w:hAnsi="Arial" w:cs="Arial"/>
        </w:rPr>
        <w:t xml:space="preserve">, a iza riječi „obuhvaćeni“ dodaje se riječ „internim“. </w:t>
      </w:r>
    </w:p>
    <w:p w14:paraId="68DBA473" w14:textId="77777777" w:rsidR="009006AD" w:rsidRPr="004278AF" w:rsidRDefault="009006AD" w:rsidP="009006AD">
      <w:pPr>
        <w:pStyle w:val="NoSpacing"/>
        <w:jc w:val="both"/>
        <w:rPr>
          <w:rFonts w:ascii="Arial" w:hAnsi="Arial" w:cs="Arial"/>
        </w:rPr>
      </w:pPr>
    </w:p>
    <w:p w14:paraId="16E6C8DF" w14:textId="17943DC6" w:rsidR="00E30644" w:rsidRPr="004278AF" w:rsidRDefault="008A6A85" w:rsidP="009006AD">
      <w:pPr>
        <w:pStyle w:val="NoSpacing"/>
        <w:jc w:val="both"/>
        <w:rPr>
          <w:rFonts w:ascii="Arial" w:hAnsi="Arial" w:cs="Arial"/>
        </w:rPr>
      </w:pPr>
      <w:r>
        <w:rPr>
          <w:rFonts w:ascii="Arial" w:hAnsi="Arial" w:cs="Arial"/>
        </w:rPr>
        <w:t>U s</w:t>
      </w:r>
      <w:r w:rsidR="00E30644" w:rsidRPr="004278AF">
        <w:rPr>
          <w:rFonts w:ascii="Arial" w:hAnsi="Arial" w:cs="Arial"/>
        </w:rPr>
        <w:t>tav</w:t>
      </w:r>
      <w:r>
        <w:rPr>
          <w:rFonts w:ascii="Arial" w:hAnsi="Arial" w:cs="Arial"/>
        </w:rPr>
        <w:t>u</w:t>
      </w:r>
      <w:r w:rsidR="00E30644" w:rsidRPr="004278AF">
        <w:rPr>
          <w:rFonts w:ascii="Arial" w:hAnsi="Arial" w:cs="Arial"/>
        </w:rPr>
        <w:t xml:space="preserve"> (1) tačk</w:t>
      </w:r>
      <w:r>
        <w:rPr>
          <w:rFonts w:ascii="Arial" w:hAnsi="Arial" w:cs="Arial"/>
        </w:rPr>
        <w:t>a</w:t>
      </w:r>
      <w:r w:rsidR="00E30644" w:rsidRPr="004278AF">
        <w:rPr>
          <w:rFonts w:ascii="Arial" w:hAnsi="Arial" w:cs="Arial"/>
        </w:rPr>
        <w:t xml:space="preserve"> b</w:t>
      </w:r>
      <w:r w:rsidR="009006AD" w:rsidRPr="004278AF">
        <w:rPr>
          <w:rFonts w:ascii="Arial" w:hAnsi="Arial" w:cs="Arial"/>
        </w:rPr>
        <w:t xml:space="preserve">) </w:t>
      </w:r>
      <w:r w:rsidR="00E30644" w:rsidRPr="004278AF">
        <w:rPr>
          <w:rFonts w:ascii="Arial" w:hAnsi="Arial" w:cs="Arial"/>
        </w:rPr>
        <w:t>mijenja se i glas</w:t>
      </w:r>
      <w:r w:rsidR="009006AD" w:rsidRPr="004278AF">
        <w:rPr>
          <w:rFonts w:ascii="Arial" w:hAnsi="Arial" w:cs="Arial"/>
        </w:rPr>
        <w:t>i</w:t>
      </w:r>
      <w:r w:rsidR="00E30644" w:rsidRPr="004278AF">
        <w:rPr>
          <w:rFonts w:ascii="Arial" w:hAnsi="Arial" w:cs="Arial"/>
        </w:rPr>
        <w:t>:</w:t>
      </w:r>
    </w:p>
    <w:p w14:paraId="2EB4CF55" w14:textId="242640B8" w:rsidR="00E30644" w:rsidRPr="004278AF" w:rsidRDefault="00E30644" w:rsidP="009006AD">
      <w:pPr>
        <w:pStyle w:val="NoSpacing"/>
        <w:jc w:val="both"/>
        <w:rPr>
          <w:rFonts w:ascii="Arial" w:hAnsi="Arial" w:cs="Arial"/>
        </w:rPr>
      </w:pPr>
      <w:r w:rsidRPr="004278AF">
        <w:rPr>
          <w:rFonts w:ascii="Arial" w:hAnsi="Arial" w:cs="Arial"/>
        </w:rPr>
        <w:t xml:space="preserve">„b) </w:t>
      </w:r>
      <w:r w:rsidR="009006AD" w:rsidRPr="004278AF">
        <w:rPr>
          <w:rFonts w:ascii="Arial" w:hAnsi="Arial" w:cs="Arial"/>
        </w:rPr>
        <w:t>unutarnje politike i procedure obveznika, uključujući mjere identifikacije i praćenja transakcija i aktivnosti klijenta,“</w:t>
      </w:r>
    </w:p>
    <w:p w14:paraId="45D19765" w14:textId="77777777" w:rsidR="009006AD" w:rsidRPr="004278AF" w:rsidRDefault="009006AD" w:rsidP="009006AD">
      <w:pPr>
        <w:pStyle w:val="NoSpacing"/>
        <w:jc w:val="both"/>
        <w:rPr>
          <w:rFonts w:ascii="Arial" w:hAnsi="Arial" w:cs="Arial"/>
        </w:rPr>
      </w:pPr>
    </w:p>
    <w:p w14:paraId="5D64D6B7" w14:textId="32CE673B" w:rsidR="009006AD" w:rsidRPr="004278AF" w:rsidRDefault="009006AD" w:rsidP="009006AD">
      <w:pPr>
        <w:pStyle w:val="NoSpacing"/>
        <w:jc w:val="both"/>
        <w:rPr>
          <w:rFonts w:ascii="Arial" w:hAnsi="Arial" w:cs="Arial"/>
        </w:rPr>
      </w:pPr>
      <w:r w:rsidRPr="004278AF">
        <w:rPr>
          <w:rFonts w:ascii="Arial" w:hAnsi="Arial" w:cs="Arial"/>
        </w:rPr>
        <w:t>U stavu (1) iza tačke b) dodaj</w:t>
      </w:r>
      <w:r w:rsidR="0048308E">
        <w:rPr>
          <w:rFonts w:ascii="Arial" w:hAnsi="Arial" w:cs="Arial"/>
        </w:rPr>
        <w:t>u</w:t>
      </w:r>
      <w:r w:rsidRPr="004278AF">
        <w:rPr>
          <w:rFonts w:ascii="Arial" w:hAnsi="Arial" w:cs="Arial"/>
        </w:rPr>
        <w:t xml:space="preserve"> se nov</w:t>
      </w:r>
      <w:r w:rsidR="0048308E">
        <w:rPr>
          <w:rFonts w:ascii="Arial" w:hAnsi="Arial" w:cs="Arial"/>
        </w:rPr>
        <w:t>e</w:t>
      </w:r>
      <w:r w:rsidRPr="004278AF">
        <w:rPr>
          <w:rFonts w:ascii="Arial" w:hAnsi="Arial" w:cs="Arial"/>
        </w:rPr>
        <w:t xml:space="preserve"> tačk</w:t>
      </w:r>
      <w:r w:rsidR="0048308E">
        <w:rPr>
          <w:rFonts w:ascii="Arial" w:hAnsi="Arial" w:cs="Arial"/>
        </w:rPr>
        <w:t>e</w:t>
      </w:r>
      <w:r w:rsidRPr="004278AF">
        <w:rPr>
          <w:rFonts w:ascii="Arial" w:hAnsi="Arial" w:cs="Arial"/>
        </w:rPr>
        <w:t xml:space="preserve"> c) </w:t>
      </w:r>
      <w:r w:rsidR="0048308E">
        <w:rPr>
          <w:rFonts w:ascii="Arial" w:hAnsi="Arial" w:cs="Arial"/>
        </w:rPr>
        <w:t xml:space="preserve">i d) </w:t>
      </w:r>
      <w:r w:rsidRPr="004278AF">
        <w:rPr>
          <w:rFonts w:ascii="Arial" w:hAnsi="Arial" w:cs="Arial"/>
        </w:rPr>
        <w:t>koj</w:t>
      </w:r>
      <w:r w:rsidR="0048308E">
        <w:rPr>
          <w:rFonts w:ascii="Arial" w:hAnsi="Arial" w:cs="Arial"/>
        </w:rPr>
        <w:t>e</w:t>
      </w:r>
      <w:r w:rsidRPr="004278AF">
        <w:rPr>
          <w:rFonts w:ascii="Arial" w:hAnsi="Arial" w:cs="Arial"/>
        </w:rPr>
        <w:t xml:space="preserve"> glas</w:t>
      </w:r>
      <w:r w:rsidR="0048308E">
        <w:rPr>
          <w:rFonts w:ascii="Arial" w:hAnsi="Arial" w:cs="Arial"/>
        </w:rPr>
        <w:t>e</w:t>
      </w:r>
      <w:r w:rsidRPr="004278AF">
        <w:rPr>
          <w:rFonts w:ascii="Arial" w:hAnsi="Arial" w:cs="Arial"/>
        </w:rPr>
        <w:t>:</w:t>
      </w:r>
    </w:p>
    <w:p w14:paraId="602B45E3" w14:textId="77777777" w:rsidR="0048308E" w:rsidRDefault="009006AD" w:rsidP="009006AD">
      <w:pPr>
        <w:pStyle w:val="NoSpacing"/>
        <w:jc w:val="both"/>
        <w:rPr>
          <w:rFonts w:ascii="Arial" w:hAnsi="Arial" w:cs="Arial"/>
        </w:rPr>
      </w:pPr>
      <w:r w:rsidRPr="004278AF">
        <w:rPr>
          <w:rFonts w:ascii="Arial" w:hAnsi="Arial" w:cs="Arial"/>
        </w:rPr>
        <w:t>„</w:t>
      </w:r>
      <w:r w:rsidR="00E30644" w:rsidRPr="004278AF">
        <w:rPr>
          <w:rFonts w:ascii="Arial" w:hAnsi="Arial" w:cs="Arial"/>
        </w:rPr>
        <w:t>c) indikatori sumnjivih transakcija i postupak izvještavanja,</w:t>
      </w:r>
    </w:p>
    <w:p w14:paraId="61F152FE" w14:textId="77777777" w:rsidR="0048308E" w:rsidRDefault="0048308E" w:rsidP="009006AD">
      <w:pPr>
        <w:pStyle w:val="NoSpacing"/>
        <w:jc w:val="both"/>
        <w:rPr>
          <w:rFonts w:ascii="Arial" w:hAnsi="Arial" w:cs="Arial"/>
        </w:rPr>
      </w:pPr>
    </w:p>
    <w:p w14:paraId="6982ABD2" w14:textId="779294CA" w:rsidR="00E30644" w:rsidRPr="004278AF" w:rsidRDefault="0048308E" w:rsidP="009006AD">
      <w:pPr>
        <w:pStyle w:val="NoSpacing"/>
        <w:jc w:val="both"/>
        <w:rPr>
          <w:rFonts w:ascii="Arial" w:hAnsi="Arial" w:cs="Arial"/>
        </w:rPr>
      </w:pPr>
      <w:r>
        <w:rPr>
          <w:rFonts w:ascii="Arial" w:hAnsi="Arial" w:cs="Arial"/>
        </w:rPr>
        <w:t xml:space="preserve">d) </w:t>
      </w:r>
      <w:r>
        <w:rPr>
          <w:rFonts w:ascii="Arial" w:hAnsi="Arial" w:cs="Arial"/>
          <w:color w:val="000000" w:themeColor="text1"/>
        </w:rPr>
        <w:t>specifičnosti određenih proizvoda i usluga koje obveznik nudi, a koje mogu biti podložne zloupotrebi</w:t>
      </w:r>
      <w:r>
        <w:rPr>
          <w:rFonts w:ascii="Arial" w:hAnsi="Arial" w:cs="Arial"/>
          <w:color w:val="000000" w:themeColor="text1"/>
        </w:rPr>
        <w:t>,</w:t>
      </w:r>
      <w:r w:rsidR="009006AD" w:rsidRPr="004278AF">
        <w:rPr>
          <w:rFonts w:ascii="Arial" w:hAnsi="Arial" w:cs="Arial"/>
        </w:rPr>
        <w:t>“</w:t>
      </w:r>
      <w:r>
        <w:rPr>
          <w:rFonts w:ascii="Arial" w:hAnsi="Arial" w:cs="Arial"/>
        </w:rPr>
        <w:t>.</w:t>
      </w:r>
    </w:p>
    <w:p w14:paraId="65FB87CF" w14:textId="77777777" w:rsidR="009006AD" w:rsidRPr="004278AF" w:rsidRDefault="009006AD" w:rsidP="009006AD">
      <w:pPr>
        <w:pStyle w:val="NoSpacing"/>
        <w:jc w:val="both"/>
        <w:rPr>
          <w:rFonts w:ascii="Arial" w:hAnsi="Arial" w:cs="Arial"/>
        </w:rPr>
      </w:pPr>
    </w:p>
    <w:p w14:paraId="0EAB812E" w14:textId="4CA6D56A" w:rsidR="009006AD" w:rsidRPr="004278AF" w:rsidRDefault="009006AD" w:rsidP="008C733B">
      <w:pPr>
        <w:pStyle w:val="NoSpacing"/>
        <w:jc w:val="both"/>
        <w:rPr>
          <w:rFonts w:ascii="Arial" w:hAnsi="Arial" w:cs="Arial"/>
        </w:rPr>
      </w:pPr>
      <w:r w:rsidRPr="004278AF">
        <w:rPr>
          <w:rFonts w:ascii="Arial" w:hAnsi="Arial" w:cs="Arial"/>
        </w:rPr>
        <w:t xml:space="preserve">Dosadašnje tačke c) </w:t>
      </w:r>
      <w:r w:rsidR="0048308E">
        <w:rPr>
          <w:rFonts w:ascii="Arial" w:hAnsi="Arial" w:cs="Arial"/>
        </w:rPr>
        <w:t>do h</w:t>
      </w:r>
      <w:r w:rsidRPr="004278AF">
        <w:rPr>
          <w:rFonts w:ascii="Arial" w:hAnsi="Arial" w:cs="Arial"/>
        </w:rPr>
        <w:t xml:space="preserve">) postaju tačke </w:t>
      </w:r>
      <w:r w:rsidR="0048308E">
        <w:rPr>
          <w:rFonts w:ascii="Arial" w:hAnsi="Arial" w:cs="Arial"/>
        </w:rPr>
        <w:t>e</w:t>
      </w:r>
      <w:r w:rsidRPr="004278AF">
        <w:rPr>
          <w:rFonts w:ascii="Arial" w:hAnsi="Arial" w:cs="Arial"/>
        </w:rPr>
        <w:t xml:space="preserve">) </w:t>
      </w:r>
      <w:r w:rsidR="0048308E">
        <w:rPr>
          <w:rFonts w:ascii="Arial" w:hAnsi="Arial" w:cs="Arial"/>
        </w:rPr>
        <w:t>do j</w:t>
      </w:r>
      <w:r w:rsidRPr="004278AF">
        <w:rPr>
          <w:rFonts w:ascii="Arial" w:hAnsi="Arial" w:cs="Arial"/>
        </w:rPr>
        <w:t>)</w:t>
      </w:r>
      <w:r w:rsidR="004278AF" w:rsidRPr="004278AF">
        <w:rPr>
          <w:rFonts w:ascii="Arial" w:hAnsi="Arial" w:cs="Arial"/>
        </w:rPr>
        <w:t>.</w:t>
      </w:r>
    </w:p>
    <w:p w14:paraId="6A216ED8" w14:textId="77777777" w:rsidR="004278AF" w:rsidRPr="009006AD" w:rsidRDefault="004278AF" w:rsidP="009006AD">
      <w:pPr>
        <w:pStyle w:val="NoSpacing"/>
        <w:jc w:val="both"/>
        <w:rPr>
          <w:rFonts w:ascii="Arial" w:hAnsi="Arial" w:cs="Arial"/>
          <w:color w:val="EE0000"/>
        </w:rPr>
      </w:pPr>
    </w:p>
    <w:p w14:paraId="13B00538" w14:textId="46E90437" w:rsidR="006F5FD8" w:rsidRDefault="004278AF" w:rsidP="009006AD">
      <w:pPr>
        <w:pStyle w:val="NoSpacing"/>
        <w:jc w:val="both"/>
        <w:rPr>
          <w:rFonts w:ascii="Arial" w:hAnsi="Arial" w:cs="Arial"/>
          <w:color w:val="000000" w:themeColor="text1"/>
        </w:rPr>
      </w:pPr>
      <w:r>
        <w:rPr>
          <w:rFonts w:ascii="Arial" w:hAnsi="Arial" w:cs="Arial"/>
          <w:color w:val="000000" w:themeColor="text1"/>
        </w:rPr>
        <w:t>Iza stava (3) dodaje se novi stav (4) koji glasi:</w:t>
      </w:r>
    </w:p>
    <w:p w14:paraId="42772725" w14:textId="46F31C03" w:rsidR="004278AF" w:rsidRDefault="004278AF" w:rsidP="004278AF">
      <w:pPr>
        <w:pStyle w:val="NoSpacing"/>
        <w:rPr>
          <w:rFonts w:ascii="Arial" w:hAnsi="Arial" w:cs="Arial"/>
          <w:color w:val="000000" w:themeColor="text1"/>
        </w:rPr>
      </w:pPr>
      <w:r>
        <w:rPr>
          <w:rFonts w:ascii="Arial" w:hAnsi="Arial" w:cs="Arial"/>
          <w:color w:val="000000" w:themeColor="text1"/>
        </w:rPr>
        <w:t xml:space="preserve">„(4) </w:t>
      </w:r>
      <w:r w:rsidRPr="004278AF">
        <w:rPr>
          <w:rFonts w:ascii="Arial" w:hAnsi="Arial" w:cs="Arial"/>
          <w:color w:val="000000" w:themeColor="text1"/>
        </w:rPr>
        <w:t xml:space="preserve">Svi novi zaposlenici moraju proći inicijalnu obuku o osnovnim principima </w:t>
      </w:r>
      <w:r w:rsidRPr="004278AF">
        <w:rPr>
          <w:rFonts w:ascii="Arial" w:hAnsi="Arial" w:cs="Arial"/>
          <w:color w:val="000000" w:themeColor="text1"/>
          <w:lang w:val="sr-Cyrl-BA"/>
        </w:rPr>
        <w:t>SPN/FTA</w:t>
      </w:r>
      <w:r w:rsidRPr="004278AF">
        <w:rPr>
          <w:rFonts w:ascii="Arial" w:hAnsi="Arial" w:cs="Arial"/>
          <w:color w:val="000000" w:themeColor="text1"/>
        </w:rPr>
        <w:t>/FP u roku od 60 dana od dana stupanja na dužnost.</w:t>
      </w:r>
      <w:r>
        <w:rPr>
          <w:rFonts w:ascii="Arial" w:hAnsi="Arial" w:cs="Arial"/>
          <w:color w:val="000000" w:themeColor="text1"/>
        </w:rPr>
        <w:t>“</w:t>
      </w:r>
    </w:p>
    <w:p w14:paraId="085D15BE" w14:textId="77777777" w:rsidR="004278AF" w:rsidRDefault="004278AF" w:rsidP="004278AF">
      <w:pPr>
        <w:pStyle w:val="NoSpacing"/>
        <w:rPr>
          <w:rFonts w:ascii="Arial" w:hAnsi="Arial" w:cs="Arial"/>
          <w:color w:val="000000" w:themeColor="text1"/>
        </w:rPr>
      </w:pPr>
    </w:p>
    <w:p w14:paraId="0A4D5803" w14:textId="251D10A2" w:rsidR="004278AF" w:rsidRDefault="004278AF" w:rsidP="00EB2227">
      <w:pPr>
        <w:pStyle w:val="NoSpacing"/>
        <w:rPr>
          <w:rFonts w:ascii="Arial" w:hAnsi="Arial" w:cs="Arial"/>
          <w:color w:val="000000" w:themeColor="text1"/>
        </w:rPr>
      </w:pPr>
      <w:r>
        <w:rPr>
          <w:rFonts w:ascii="Arial" w:hAnsi="Arial" w:cs="Arial"/>
          <w:color w:val="000000" w:themeColor="text1"/>
        </w:rPr>
        <w:t xml:space="preserve">Dosadašnji stav (4) postaje stav (5). </w:t>
      </w:r>
    </w:p>
    <w:p w14:paraId="7FC3ED79" w14:textId="77777777" w:rsidR="004278AF" w:rsidRDefault="004278AF" w:rsidP="004278AF">
      <w:pPr>
        <w:pStyle w:val="NoSpacing"/>
        <w:rPr>
          <w:rFonts w:ascii="Arial" w:hAnsi="Arial" w:cs="Arial"/>
          <w:color w:val="000000" w:themeColor="text1"/>
        </w:rPr>
      </w:pPr>
    </w:p>
    <w:p w14:paraId="5F0B5C54" w14:textId="402667FC" w:rsidR="004278AF" w:rsidRDefault="004278AF" w:rsidP="00EB2227">
      <w:pPr>
        <w:pStyle w:val="NoSpacing"/>
        <w:rPr>
          <w:rFonts w:ascii="Arial" w:hAnsi="Arial" w:cs="Arial"/>
          <w:color w:val="000000" w:themeColor="text1"/>
        </w:rPr>
      </w:pPr>
      <w:r>
        <w:rPr>
          <w:rFonts w:ascii="Arial" w:hAnsi="Arial" w:cs="Arial"/>
          <w:color w:val="000000" w:themeColor="text1"/>
        </w:rPr>
        <w:t>Iza stava (</w:t>
      </w:r>
      <w:r w:rsidR="00532F14">
        <w:rPr>
          <w:rFonts w:ascii="Arial" w:hAnsi="Arial" w:cs="Arial"/>
          <w:color w:val="000000" w:themeColor="text1"/>
        </w:rPr>
        <w:t>5</w:t>
      </w:r>
      <w:r>
        <w:rPr>
          <w:rFonts w:ascii="Arial" w:hAnsi="Arial" w:cs="Arial"/>
          <w:color w:val="000000" w:themeColor="text1"/>
        </w:rPr>
        <w:t>) dodaju se novi stavovi (6) i (7) koji glase:</w:t>
      </w:r>
    </w:p>
    <w:p w14:paraId="3762F92F" w14:textId="2D129FA2" w:rsidR="004278AF" w:rsidRPr="004278AF" w:rsidRDefault="004278AF" w:rsidP="004278AF">
      <w:pPr>
        <w:pStyle w:val="NoSpacing"/>
        <w:jc w:val="both"/>
        <w:rPr>
          <w:rFonts w:ascii="Arial" w:hAnsi="Arial" w:cs="Arial"/>
          <w:color w:val="000000" w:themeColor="text1"/>
        </w:rPr>
      </w:pPr>
      <w:r>
        <w:rPr>
          <w:rFonts w:ascii="Arial" w:hAnsi="Arial" w:cs="Arial"/>
          <w:color w:val="000000" w:themeColor="text1"/>
        </w:rPr>
        <w:t>„</w:t>
      </w:r>
      <w:r w:rsidRPr="004278AF">
        <w:rPr>
          <w:rFonts w:ascii="Arial" w:hAnsi="Arial" w:cs="Arial"/>
          <w:color w:val="000000" w:themeColor="text1"/>
        </w:rPr>
        <w:t>(6)</w:t>
      </w:r>
      <w:r>
        <w:rPr>
          <w:rFonts w:ascii="Arial" w:hAnsi="Arial" w:cs="Arial"/>
          <w:color w:val="000000" w:themeColor="text1"/>
        </w:rPr>
        <w:t xml:space="preserve"> </w:t>
      </w:r>
      <w:r w:rsidRPr="004278AF">
        <w:rPr>
          <w:rFonts w:ascii="Arial" w:hAnsi="Arial" w:cs="Arial"/>
          <w:color w:val="000000" w:themeColor="text1"/>
        </w:rPr>
        <w:t>Obveznik po potrebi može provesti dodatnu edukaciju kada to zaht</w:t>
      </w:r>
      <w:r w:rsidR="008A6A85">
        <w:rPr>
          <w:rFonts w:ascii="Arial" w:hAnsi="Arial" w:cs="Arial"/>
          <w:color w:val="000000" w:themeColor="text1"/>
        </w:rPr>
        <w:t>i</w:t>
      </w:r>
      <w:r w:rsidRPr="004278AF">
        <w:rPr>
          <w:rFonts w:ascii="Arial" w:hAnsi="Arial" w:cs="Arial"/>
          <w:color w:val="000000" w:themeColor="text1"/>
        </w:rPr>
        <w:t>jevaju izmjene propisa, interni i vanjski nalazi nadzora ili uvođenje novih proizvoda i usluga.</w:t>
      </w:r>
    </w:p>
    <w:p w14:paraId="40B7A0CF" w14:textId="6A8D87AA" w:rsidR="004278AF" w:rsidRDefault="004278AF" w:rsidP="004278AF">
      <w:pPr>
        <w:pStyle w:val="NoSpacing"/>
        <w:jc w:val="both"/>
        <w:rPr>
          <w:rFonts w:ascii="Arial" w:hAnsi="Arial" w:cs="Arial"/>
          <w:color w:val="000000" w:themeColor="text1"/>
        </w:rPr>
      </w:pPr>
      <w:r w:rsidRPr="004278AF">
        <w:rPr>
          <w:rFonts w:ascii="Arial" w:hAnsi="Arial" w:cs="Arial"/>
          <w:color w:val="000000" w:themeColor="text1"/>
        </w:rPr>
        <w:t>(7)</w:t>
      </w:r>
      <w:r>
        <w:rPr>
          <w:rFonts w:ascii="Arial" w:hAnsi="Arial" w:cs="Arial"/>
          <w:color w:val="000000" w:themeColor="text1"/>
        </w:rPr>
        <w:t xml:space="preserve"> </w:t>
      </w:r>
      <w:r w:rsidRPr="004278AF">
        <w:rPr>
          <w:rFonts w:ascii="Arial" w:hAnsi="Arial" w:cs="Arial"/>
          <w:color w:val="000000" w:themeColor="text1"/>
        </w:rPr>
        <w:t>Obveznici su dužni organizovati i specijalizirane obuke u zavisnosti od potreba organizacione jedinice, radnog mjesta ili funkcije, najmanje uključujući: nove zaposlenike, zaposleni</w:t>
      </w:r>
      <w:r w:rsidR="008A6A85">
        <w:rPr>
          <w:rFonts w:ascii="Arial" w:hAnsi="Arial" w:cs="Arial"/>
          <w:color w:val="000000" w:themeColor="text1"/>
        </w:rPr>
        <w:t>ci</w:t>
      </w:r>
      <w:r w:rsidRPr="004278AF">
        <w:rPr>
          <w:rFonts w:ascii="Arial" w:hAnsi="Arial" w:cs="Arial"/>
          <w:color w:val="000000" w:themeColor="text1"/>
        </w:rPr>
        <w:t xml:space="preserve"> u kontaktu sa klijentima, operativno osoblje, osoblje zaduženo za usklađenost i internu kontrolu, viši menadžment i najviše rukovodstvo.</w:t>
      </w:r>
      <w:r>
        <w:rPr>
          <w:rFonts w:ascii="Arial" w:hAnsi="Arial" w:cs="Arial"/>
          <w:color w:val="000000" w:themeColor="text1"/>
        </w:rPr>
        <w:t>“</w:t>
      </w:r>
    </w:p>
    <w:p w14:paraId="596D5BF5" w14:textId="77777777" w:rsidR="004278AF" w:rsidRDefault="004278AF" w:rsidP="004278AF">
      <w:pPr>
        <w:pStyle w:val="NoSpacing"/>
        <w:jc w:val="both"/>
        <w:rPr>
          <w:rFonts w:ascii="Arial" w:hAnsi="Arial" w:cs="Arial"/>
          <w:color w:val="000000" w:themeColor="text1"/>
        </w:rPr>
      </w:pPr>
    </w:p>
    <w:p w14:paraId="2FE78FA6" w14:textId="541D508C" w:rsidR="004278AF" w:rsidRPr="004278AF" w:rsidRDefault="004278AF" w:rsidP="004278AF">
      <w:pPr>
        <w:pStyle w:val="NoSpacing"/>
        <w:jc w:val="both"/>
        <w:rPr>
          <w:rFonts w:ascii="Arial" w:hAnsi="Arial" w:cs="Arial"/>
          <w:color w:val="000000" w:themeColor="text1"/>
        </w:rPr>
      </w:pPr>
      <w:r>
        <w:rPr>
          <w:rFonts w:ascii="Arial" w:hAnsi="Arial" w:cs="Arial"/>
          <w:color w:val="000000" w:themeColor="text1"/>
        </w:rPr>
        <w:t xml:space="preserve">Dosadašnji stav (5) postaje stav (8). </w:t>
      </w:r>
    </w:p>
    <w:p w14:paraId="0AAEA710" w14:textId="77777777" w:rsidR="004278AF" w:rsidRPr="009006AD" w:rsidRDefault="004278AF" w:rsidP="009006AD">
      <w:pPr>
        <w:pStyle w:val="NoSpacing"/>
        <w:jc w:val="both"/>
        <w:rPr>
          <w:rFonts w:ascii="Arial" w:hAnsi="Arial" w:cs="Arial"/>
          <w:color w:val="000000" w:themeColor="text1"/>
        </w:rPr>
      </w:pPr>
    </w:p>
    <w:p w14:paraId="6DE23E98" w14:textId="3138703B" w:rsidR="00E30644" w:rsidRPr="009006AD" w:rsidRDefault="00E30644" w:rsidP="004278AF">
      <w:pPr>
        <w:pStyle w:val="NoSpacing"/>
        <w:jc w:val="center"/>
        <w:rPr>
          <w:rFonts w:ascii="Arial" w:hAnsi="Arial" w:cs="Arial"/>
          <w:color w:val="000000" w:themeColor="text1"/>
        </w:rPr>
      </w:pPr>
      <w:r w:rsidRPr="009006AD">
        <w:rPr>
          <w:rFonts w:ascii="Arial" w:hAnsi="Arial" w:cs="Arial"/>
          <w:color w:val="000000" w:themeColor="text1"/>
        </w:rPr>
        <w:t>Član 5.</w:t>
      </w:r>
    </w:p>
    <w:p w14:paraId="629C015A" w14:textId="686E9A58" w:rsidR="00E30644" w:rsidRDefault="00E30644" w:rsidP="00E30644">
      <w:pPr>
        <w:pStyle w:val="NoSpacing"/>
        <w:jc w:val="both"/>
        <w:rPr>
          <w:rFonts w:ascii="Arial" w:hAnsi="Arial" w:cs="Arial"/>
        </w:rPr>
      </w:pPr>
      <w:r w:rsidRPr="00902155">
        <w:rPr>
          <w:rFonts w:ascii="Arial" w:hAnsi="Arial" w:cs="Arial"/>
        </w:rPr>
        <w:t xml:space="preserve">Iza člana 7. dodaje se novi član 7a. koji glasi: </w:t>
      </w:r>
    </w:p>
    <w:p w14:paraId="1EDDFBDF" w14:textId="77777777" w:rsidR="00991167" w:rsidRPr="00902155" w:rsidRDefault="00991167" w:rsidP="00E30644">
      <w:pPr>
        <w:pStyle w:val="NoSpacing"/>
        <w:jc w:val="both"/>
        <w:rPr>
          <w:rFonts w:ascii="Arial" w:hAnsi="Arial" w:cs="Arial"/>
        </w:rPr>
      </w:pPr>
    </w:p>
    <w:p w14:paraId="316FE946" w14:textId="5153DC61" w:rsidR="00E30644" w:rsidRDefault="00E30644" w:rsidP="00E30644">
      <w:pPr>
        <w:pStyle w:val="NoSpacing"/>
        <w:jc w:val="center"/>
        <w:rPr>
          <w:rFonts w:ascii="Arial" w:hAnsi="Arial" w:cs="Arial"/>
        </w:rPr>
      </w:pPr>
      <w:r w:rsidRPr="00902155">
        <w:rPr>
          <w:rFonts w:ascii="Arial" w:hAnsi="Arial" w:cs="Arial"/>
        </w:rPr>
        <w:t>„Evidencija i provjera efikasnosti obuke</w:t>
      </w:r>
    </w:p>
    <w:p w14:paraId="3AAD9AE3" w14:textId="77777777" w:rsidR="00991167" w:rsidRPr="00902155" w:rsidRDefault="00991167" w:rsidP="00E30644">
      <w:pPr>
        <w:pStyle w:val="NoSpacing"/>
        <w:jc w:val="center"/>
        <w:rPr>
          <w:rFonts w:ascii="Arial" w:hAnsi="Arial" w:cs="Arial"/>
        </w:rPr>
      </w:pPr>
    </w:p>
    <w:p w14:paraId="2D54F6F3" w14:textId="6342FE4F" w:rsidR="00E30644" w:rsidRPr="00902155" w:rsidRDefault="00E30644" w:rsidP="00E30644">
      <w:pPr>
        <w:pStyle w:val="NoSpacing"/>
        <w:jc w:val="center"/>
        <w:rPr>
          <w:rFonts w:ascii="Arial" w:hAnsi="Arial" w:cs="Arial"/>
        </w:rPr>
      </w:pPr>
      <w:r w:rsidRPr="00902155">
        <w:rPr>
          <w:rFonts w:ascii="Arial" w:hAnsi="Arial" w:cs="Arial"/>
        </w:rPr>
        <w:t>Član 7a.</w:t>
      </w:r>
    </w:p>
    <w:p w14:paraId="2F929DEC" w14:textId="193A46D6" w:rsidR="00E30644" w:rsidRPr="00902155" w:rsidRDefault="00E30644" w:rsidP="00E30644">
      <w:pPr>
        <w:pStyle w:val="NoSpacing"/>
        <w:numPr>
          <w:ilvl w:val="1"/>
          <w:numId w:val="7"/>
        </w:numPr>
        <w:ind w:left="426" w:hanging="426"/>
        <w:jc w:val="both"/>
        <w:rPr>
          <w:rFonts w:ascii="Arial" w:hAnsi="Arial" w:cs="Arial"/>
        </w:rPr>
      </w:pPr>
      <w:r w:rsidRPr="00902155">
        <w:rPr>
          <w:rFonts w:ascii="Arial" w:hAnsi="Arial" w:cs="Arial"/>
        </w:rPr>
        <w:lastRenderedPageBreak/>
        <w:t>Obveznici su dužni voditi evidenciju o provedenim obukama, uključujući datum, trajanje, sadržaj, popis učesnika i opise radnih mjesta ili funkcija.</w:t>
      </w:r>
    </w:p>
    <w:p w14:paraId="26C131D0" w14:textId="6BBC5229" w:rsidR="00E30644" w:rsidRPr="00902155" w:rsidRDefault="00E30644" w:rsidP="00E30644">
      <w:pPr>
        <w:pStyle w:val="NoSpacing"/>
        <w:numPr>
          <w:ilvl w:val="1"/>
          <w:numId w:val="7"/>
        </w:numPr>
        <w:ind w:left="426" w:hanging="426"/>
        <w:jc w:val="both"/>
        <w:rPr>
          <w:rFonts w:ascii="Arial" w:hAnsi="Arial" w:cs="Arial"/>
        </w:rPr>
      </w:pPr>
      <w:r w:rsidRPr="00902155">
        <w:rPr>
          <w:rFonts w:ascii="Arial" w:hAnsi="Arial" w:cs="Arial"/>
        </w:rPr>
        <w:t>U slučaju nepohađanja obuke bez opravdanog razloga, obveznik je dužan poduzeti odgovarajuće mjere, uključujući disciplinske postupke  prema internim pravilima.</w:t>
      </w:r>
    </w:p>
    <w:p w14:paraId="5F714F7F" w14:textId="14C9F0C4" w:rsidR="00E30644" w:rsidRPr="00902155" w:rsidRDefault="00E30644" w:rsidP="00E30644">
      <w:pPr>
        <w:pStyle w:val="NoSpacing"/>
        <w:numPr>
          <w:ilvl w:val="1"/>
          <w:numId w:val="7"/>
        </w:numPr>
        <w:ind w:left="426" w:hanging="426"/>
        <w:jc w:val="both"/>
        <w:rPr>
          <w:rFonts w:ascii="Arial" w:hAnsi="Arial" w:cs="Arial"/>
        </w:rPr>
      </w:pPr>
      <w:r w:rsidRPr="00902155">
        <w:rPr>
          <w:rFonts w:ascii="Arial" w:hAnsi="Arial" w:cs="Arial"/>
        </w:rPr>
        <w:t>Obveznici su dužni periodično proc</w:t>
      </w:r>
      <w:r w:rsidR="00C572D1">
        <w:rPr>
          <w:rFonts w:ascii="Arial" w:hAnsi="Arial" w:cs="Arial"/>
        </w:rPr>
        <w:t>i</w:t>
      </w:r>
      <w:r w:rsidRPr="00902155">
        <w:rPr>
          <w:rFonts w:ascii="Arial" w:hAnsi="Arial" w:cs="Arial"/>
        </w:rPr>
        <w:t>jeniti efikasnost obuke i predložiti mjere za njeno unaprjeđenje.</w:t>
      </w:r>
      <w:r w:rsidR="00BE316F" w:rsidRPr="00902155">
        <w:rPr>
          <w:rFonts w:ascii="Arial" w:hAnsi="Arial" w:cs="Arial"/>
        </w:rPr>
        <w:t>“</w:t>
      </w:r>
    </w:p>
    <w:p w14:paraId="25DA1F56" w14:textId="77777777" w:rsidR="00BE316F" w:rsidRPr="00902155" w:rsidRDefault="00BE316F" w:rsidP="00BE316F">
      <w:pPr>
        <w:pStyle w:val="NoSpacing"/>
        <w:jc w:val="both"/>
        <w:rPr>
          <w:rFonts w:ascii="Arial" w:hAnsi="Arial" w:cs="Arial"/>
        </w:rPr>
      </w:pPr>
    </w:p>
    <w:p w14:paraId="335F79F8" w14:textId="40F3890C" w:rsidR="00BE316F" w:rsidRPr="00902155" w:rsidRDefault="00BE316F" w:rsidP="00BE316F">
      <w:pPr>
        <w:pStyle w:val="NoSpacing"/>
        <w:jc w:val="center"/>
        <w:rPr>
          <w:rFonts w:ascii="Arial" w:hAnsi="Arial" w:cs="Arial"/>
        </w:rPr>
      </w:pPr>
      <w:r w:rsidRPr="00902155">
        <w:rPr>
          <w:rFonts w:ascii="Arial" w:hAnsi="Arial" w:cs="Arial"/>
        </w:rPr>
        <w:t xml:space="preserve">Član 6. </w:t>
      </w:r>
    </w:p>
    <w:p w14:paraId="20859CC2" w14:textId="3F4D0D80" w:rsidR="00BE316F" w:rsidRPr="00902155" w:rsidRDefault="00BE316F" w:rsidP="00BE316F">
      <w:pPr>
        <w:pStyle w:val="NoSpacing"/>
        <w:jc w:val="both"/>
        <w:rPr>
          <w:rFonts w:ascii="Arial" w:hAnsi="Arial" w:cs="Arial"/>
        </w:rPr>
      </w:pPr>
      <w:r w:rsidRPr="00902155">
        <w:rPr>
          <w:rFonts w:ascii="Arial" w:hAnsi="Arial" w:cs="Arial"/>
        </w:rPr>
        <w:t xml:space="preserve">U članu 9. </w:t>
      </w:r>
      <w:r w:rsidR="00C642FB">
        <w:rPr>
          <w:rFonts w:ascii="Arial" w:hAnsi="Arial" w:cs="Arial"/>
        </w:rPr>
        <w:t xml:space="preserve">iza stava (6) </w:t>
      </w:r>
      <w:r w:rsidRPr="00902155">
        <w:rPr>
          <w:rFonts w:ascii="Arial" w:hAnsi="Arial" w:cs="Arial"/>
        </w:rPr>
        <w:t xml:space="preserve">dodaje se novi stav (7) koji glasi: </w:t>
      </w:r>
    </w:p>
    <w:p w14:paraId="3A09FCCD" w14:textId="0BAC22C7" w:rsidR="00E30644" w:rsidRPr="00902155" w:rsidRDefault="00BE316F" w:rsidP="00BE316F">
      <w:pPr>
        <w:pStyle w:val="NoSpacing"/>
        <w:jc w:val="both"/>
        <w:rPr>
          <w:rFonts w:ascii="Arial" w:hAnsi="Arial" w:cs="Arial"/>
          <w:color w:val="000000" w:themeColor="text1"/>
        </w:rPr>
      </w:pPr>
      <w:r w:rsidRPr="00902155">
        <w:rPr>
          <w:rFonts w:ascii="Arial" w:hAnsi="Arial" w:cs="Arial"/>
        </w:rPr>
        <w:t xml:space="preserve">„(7) </w:t>
      </w:r>
      <w:r w:rsidRPr="00902155">
        <w:rPr>
          <w:rFonts w:ascii="Arial" w:hAnsi="Arial" w:cs="Arial"/>
          <w:color w:val="000000" w:themeColor="text1"/>
        </w:rPr>
        <w:t>U skladu sa članom 41. st. (1) i (2) Pravilnika, obveznik je dužan da osigura izradu godišnjeg izvještaja o izvršenoj internoj reviziji i o mjerama preduzetim nakon te revizije najmanje jednom godišnje. Razmak između dvije uzastopne revizije, kao i između usvajanja izvještaja od strane nadležnih organa obveznika, ne može biti duži od 12 mjeseci. Godišnji izvještaj o izvršenoj internoj reviziji sadrži najmanje podatke propisane u članu 41. stav (2) Pravilnika.“</w:t>
      </w:r>
    </w:p>
    <w:p w14:paraId="4042FD65" w14:textId="77777777" w:rsidR="00BE316F" w:rsidRPr="00902155" w:rsidRDefault="00BE316F" w:rsidP="00BE316F">
      <w:pPr>
        <w:pStyle w:val="NoSpacing"/>
        <w:jc w:val="both"/>
        <w:rPr>
          <w:rFonts w:ascii="Arial" w:hAnsi="Arial" w:cs="Arial"/>
          <w:color w:val="000000" w:themeColor="text1"/>
        </w:rPr>
      </w:pPr>
    </w:p>
    <w:p w14:paraId="482C630B" w14:textId="0F67E7C2" w:rsidR="00BE316F" w:rsidRPr="003D0085" w:rsidRDefault="00BE316F" w:rsidP="00BE316F">
      <w:pPr>
        <w:pStyle w:val="NoSpacing"/>
        <w:jc w:val="center"/>
        <w:rPr>
          <w:rFonts w:ascii="Arial" w:hAnsi="Arial" w:cs="Arial"/>
        </w:rPr>
      </w:pPr>
      <w:r w:rsidRPr="003D0085">
        <w:rPr>
          <w:rFonts w:ascii="Arial" w:hAnsi="Arial" w:cs="Arial"/>
        </w:rPr>
        <w:t xml:space="preserve">Član 7. </w:t>
      </w:r>
    </w:p>
    <w:p w14:paraId="75E25561" w14:textId="78B92ABE" w:rsidR="00EF0828" w:rsidRPr="003D0085" w:rsidRDefault="00BE316F" w:rsidP="003D0085">
      <w:pPr>
        <w:pStyle w:val="NoSpacing"/>
        <w:jc w:val="both"/>
        <w:rPr>
          <w:rFonts w:ascii="Arial" w:hAnsi="Arial" w:cs="Arial"/>
        </w:rPr>
      </w:pPr>
      <w:r w:rsidRPr="003D0085">
        <w:rPr>
          <w:rFonts w:ascii="Arial" w:hAnsi="Arial" w:cs="Arial"/>
        </w:rPr>
        <w:t>U članu 11.</w:t>
      </w:r>
      <w:r w:rsidR="00453035" w:rsidRPr="003D0085">
        <w:rPr>
          <w:rFonts w:ascii="Arial" w:hAnsi="Arial" w:cs="Arial"/>
        </w:rPr>
        <w:t xml:space="preserve"> stav (1) </w:t>
      </w:r>
      <w:r w:rsidR="003D0085" w:rsidRPr="003D0085">
        <w:rPr>
          <w:rFonts w:ascii="Arial" w:hAnsi="Arial" w:cs="Arial"/>
        </w:rPr>
        <w:t xml:space="preserve">riječi: „podzakonskim aktima donesenim na osnovu ovog Zakona“ zamjenjuju se riječima: „Pravilnikom i ovim Smjernicama“. </w:t>
      </w:r>
    </w:p>
    <w:p w14:paraId="27BB9C27" w14:textId="77777777" w:rsidR="00BE316F" w:rsidRDefault="00BE316F" w:rsidP="00EF0828">
      <w:pPr>
        <w:pStyle w:val="NoSpacing"/>
        <w:jc w:val="center"/>
        <w:rPr>
          <w:rFonts w:ascii="Arial" w:hAnsi="Arial" w:cs="Arial"/>
        </w:rPr>
      </w:pPr>
    </w:p>
    <w:p w14:paraId="15D49EE0" w14:textId="4DD032F4" w:rsidR="00C439AF" w:rsidRDefault="00C439AF" w:rsidP="0093155F">
      <w:pPr>
        <w:pStyle w:val="NoSpacing"/>
        <w:jc w:val="both"/>
        <w:rPr>
          <w:rFonts w:ascii="Arial" w:hAnsi="Arial" w:cs="Arial"/>
        </w:rPr>
      </w:pPr>
      <w:r>
        <w:rPr>
          <w:rFonts w:ascii="Arial" w:hAnsi="Arial" w:cs="Arial"/>
        </w:rPr>
        <w:t xml:space="preserve">U članu 11. stav (2) </w:t>
      </w:r>
      <w:r w:rsidR="0093155F">
        <w:rPr>
          <w:rFonts w:ascii="Arial" w:hAnsi="Arial" w:cs="Arial"/>
        </w:rPr>
        <w:t xml:space="preserve"> riječi: „ je dužan da donese program“, </w:t>
      </w:r>
      <w:proofErr w:type="spellStart"/>
      <w:r w:rsidR="0093155F">
        <w:rPr>
          <w:rFonts w:ascii="Arial" w:hAnsi="Arial" w:cs="Arial"/>
        </w:rPr>
        <w:t>mjenjaju</w:t>
      </w:r>
      <w:proofErr w:type="spellEnd"/>
      <w:r w:rsidR="0093155F">
        <w:rPr>
          <w:rFonts w:ascii="Arial" w:hAnsi="Arial" w:cs="Arial"/>
        </w:rPr>
        <w:t xml:space="preserve"> se i glase: „</w:t>
      </w:r>
      <w:r w:rsidR="0093155F" w:rsidRPr="0093155F">
        <w:rPr>
          <w:rFonts w:ascii="Arial" w:hAnsi="Arial" w:cs="Arial"/>
        </w:rPr>
        <w:t xml:space="preserve"> </w:t>
      </w:r>
      <w:r w:rsidR="0093155F">
        <w:rPr>
          <w:rFonts w:ascii="Arial" w:hAnsi="Arial" w:cs="Arial"/>
        </w:rPr>
        <w:t xml:space="preserve">je </w:t>
      </w:r>
      <w:r w:rsidR="0093155F">
        <w:rPr>
          <w:rFonts w:ascii="Arial" w:hAnsi="Arial" w:cs="Arial"/>
        </w:rPr>
        <w:t xml:space="preserve">obavezan </w:t>
      </w:r>
      <w:r w:rsidR="0093155F" w:rsidRPr="00C80B47">
        <w:rPr>
          <w:rFonts w:ascii="Arial" w:hAnsi="Arial" w:cs="Arial"/>
        </w:rPr>
        <w:t xml:space="preserve"> </w:t>
      </w:r>
      <w:r w:rsidR="0093155F">
        <w:rPr>
          <w:rFonts w:ascii="Arial" w:hAnsi="Arial" w:cs="Arial"/>
        </w:rPr>
        <w:t>uzeti u obzir odredbe člana 5. Pravilnika prilikom donošenja</w:t>
      </w:r>
      <w:r w:rsidR="0093155F" w:rsidRPr="00C80B47">
        <w:rPr>
          <w:rFonts w:ascii="Arial" w:hAnsi="Arial" w:cs="Arial"/>
        </w:rPr>
        <w:t xml:space="preserve"> </w:t>
      </w:r>
      <w:r w:rsidR="0093155F">
        <w:rPr>
          <w:rFonts w:ascii="Arial" w:hAnsi="Arial" w:cs="Arial"/>
        </w:rPr>
        <w:t xml:space="preserve">internog </w:t>
      </w:r>
      <w:r w:rsidR="0093155F" w:rsidRPr="00132B5C">
        <w:rPr>
          <w:rFonts w:ascii="Arial" w:hAnsi="Arial" w:cs="Arial"/>
          <w:lang w:val="sr-Cyrl-RS"/>
        </w:rPr>
        <w:t>p</w:t>
      </w:r>
      <w:proofErr w:type="spellStart"/>
      <w:r w:rsidR="0093155F" w:rsidRPr="00C80B47">
        <w:rPr>
          <w:rFonts w:ascii="Arial" w:hAnsi="Arial" w:cs="Arial"/>
        </w:rPr>
        <w:t>rogram</w:t>
      </w:r>
      <w:r w:rsidR="0093155F">
        <w:rPr>
          <w:rFonts w:ascii="Arial" w:hAnsi="Arial" w:cs="Arial"/>
        </w:rPr>
        <w:t>a</w:t>
      </w:r>
      <w:proofErr w:type="spellEnd"/>
      <w:r w:rsidR="0093155F">
        <w:rPr>
          <w:rFonts w:ascii="Arial" w:hAnsi="Arial" w:cs="Arial"/>
        </w:rPr>
        <w:t>“.</w:t>
      </w:r>
    </w:p>
    <w:p w14:paraId="1896C3F8" w14:textId="77777777" w:rsidR="00C81B77" w:rsidRPr="00902155" w:rsidRDefault="00C81B77" w:rsidP="0093155F">
      <w:pPr>
        <w:pStyle w:val="NoSpacing"/>
        <w:jc w:val="both"/>
        <w:rPr>
          <w:rFonts w:ascii="Arial" w:hAnsi="Arial" w:cs="Arial"/>
        </w:rPr>
      </w:pPr>
    </w:p>
    <w:p w14:paraId="1AA97E58" w14:textId="1FA770DA" w:rsidR="00CF52C4" w:rsidRPr="00902155" w:rsidRDefault="00BE316F" w:rsidP="00BE316F">
      <w:pPr>
        <w:pStyle w:val="NoSpacing"/>
        <w:jc w:val="center"/>
        <w:rPr>
          <w:rFonts w:ascii="Arial" w:hAnsi="Arial" w:cs="Arial"/>
        </w:rPr>
      </w:pPr>
      <w:r w:rsidRPr="00902155">
        <w:rPr>
          <w:rFonts w:ascii="Arial" w:hAnsi="Arial" w:cs="Arial"/>
        </w:rPr>
        <w:t xml:space="preserve">Član 8. </w:t>
      </w:r>
    </w:p>
    <w:p w14:paraId="7CC5F8E9" w14:textId="77777777" w:rsidR="00991167" w:rsidRDefault="00991167" w:rsidP="00640F14">
      <w:pPr>
        <w:pStyle w:val="NoSpacing"/>
        <w:jc w:val="both"/>
        <w:rPr>
          <w:rFonts w:ascii="Arial" w:hAnsi="Arial" w:cs="Arial"/>
        </w:rPr>
      </w:pPr>
    </w:p>
    <w:p w14:paraId="1CB57D61" w14:textId="7E612C4D" w:rsidR="00991167" w:rsidRPr="00902155" w:rsidRDefault="00D42193" w:rsidP="00991167">
      <w:pPr>
        <w:pStyle w:val="NoSpacing"/>
        <w:jc w:val="both"/>
        <w:rPr>
          <w:rFonts w:ascii="Arial" w:hAnsi="Arial" w:cs="Arial"/>
        </w:rPr>
      </w:pPr>
      <w:r>
        <w:rPr>
          <w:rFonts w:ascii="Arial" w:hAnsi="Arial" w:cs="Arial"/>
        </w:rPr>
        <w:t>U članu 14. i</w:t>
      </w:r>
      <w:r w:rsidR="00991167" w:rsidRPr="00902155">
        <w:rPr>
          <w:rFonts w:ascii="Arial" w:hAnsi="Arial" w:cs="Arial"/>
        </w:rPr>
        <w:t>za stava (2) dodaje se novi stav (3) koji glasi:</w:t>
      </w:r>
    </w:p>
    <w:p w14:paraId="7997C0AF" w14:textId="51EAEAB8" w:rsidR="00991167" w:rsidRPr="00902155" w:rsidRDefault="00991167" w:rsidP="00991167">
      <w:pPr>
        <w:pStyle w:val="NoSpacing"/>
        <w:jc w:val="both"/>
        <w:rPr>
          <w:rFonts w:ascii="Arial" w:hAnsi="Arial" w:cs="Arial"/>
        </w:rPr>
      </w:pPr>
      <w:r w:rsidRPr="00902155">
        <w:rPr>
          <w:rFonts w:ascii="Arial" w:hAnsi="Arial" w:cs="Arial"/>
        </w:rPr>
        <w:t>„(3) Ukoliko društvo za osiguranje utvrdi da korisnik osiguranja koji je pravno lice ili pravni aranžman predstavlja veći rizik, dužna su poduzeti pojačane mjere koje će uključivati razumne mjere za identifikaciju i provjeru identiteta stvarnog vlasnika korisnika u trenutku isplate.“</w:t>
      </w:r>
    </w:p>
    <w:p w14:paraId="7B682012" w14:textId="77777777" w:rsidR="00991167" w:rsidRDefault="00991167" w:rsidP="00991167">
      <w:pPr>
        <w:pStyle w:val="NoSpacing"/>
        <w:jc w:val="both"/>
        <w:rPr>
          <w:rFonts w:ascii="Arial" w:hAnsi="Arial" w:cs="Arial"/>
        </w:rPr>
      </w:pPr>
    </w:p>
    <w:p w14:paraId="42F695C2" w14:textId="34F5CB5E" w:rsidR="00991167" w:rsidRDefault="00991167" w:rsidP="00991167">
      <w:pPr>
        <w:pStyle w:val="NoSpacing"/>
        <w:jc w:val="both"/>
        <w:rPr>
          <w:rFonts w:ascii="Arial" w:hAnsi="Arial" w:cs="Arial"/>
        </w:rPr>
      </w:pPr>
      <w:r w:rsidRPr="003C6CCE">
        <w:rPr>
          <w:rFonts w:ascii="Arial" w:hAnsi="Arial" w:cs="Arial"/>
        </w:rPr>
        <w:t>Dosadašnji stavovi (3) do (1</w:t>
      </w:r>
      <w:r w:rsidR="00D42193">
        <w:rPr>
          <w:rFonts w:ascii="Arial" w:hAnsi="Arial" w:cs="Arial"/>
        </w:rPr>
        <w:t>1</w:t>
      </w:r>
      <w:r w:rsidRPr="003C6CCE">
        <w:rPr>
          <w:rFonts w:ascii="Arial" w:hAnsi="Arial" w:cs="Arial"/>
        </w:rPr>
        <w:t>) postaju stavovi (4) do (1</w:t>
      </w:r>
      <w:r w:rsidR="00D42193">
        <w:rPr>
          <w:rFonts w:ascii="Arial" w:hAnsi="Arial" w:cs="Arial"/>
        </w:rPr>
        <w:t>2</w:t>
      </w:r>
      <w:r w:rsidRPr="003C6CCE">
        <w:rPr>
          <w:rFonts w:ascii="Arial" w:hAnsi="Arial" w:cs="Arial"/>
        </w:rPr>
        <w:t>).</w:t>
      </w:r>
    </w:p>
    <w:p w14:paraId="74F52569" w14:textId="77777777" w:rsidR="00B21F19" w:rsidRDefault="00B21F19" w:rsidP="00640F14">
      <w:pPr>
        <w:pStyle w:val="NoSpacing"/>
        <w:jc w:val="both"/>
        <w:rPr>
          <w:rFonts w:ascii="Arial" w:hAnsi="Arial" w:cs="Arial"/>
        </w:rPr>
      </w:pPr>
    </w:p>
    <w:p w14:paraId="22AB0975" w14:textId="69F665B6" w:rsidR="00C056A0" w:rsidRDefault="00A6764E" w:rsidP="00BE316F">
      <w:pPr>
        <w:pStyle w:val="NoSpacing"/>
        <w:jc w:val="both"/>
        <w:rPr>
          <w:rFonts w:ascii="Arial" w:hAnsi="Arial" w:cs="Arial"/>
        </w:rPr>
      </w:pPr>
      <w:r>
        <w:rPr>
          <w:rFonts w:ascii="Arial" w:hAnsi="Arial" w:cs="Arial"/>
        </w:rPr>
        <w:t>S</w:t>
      </w:r>
      <w:r w:rsidR="00640F14" w:rsidRPr="00902155">
        <w:rPr>
          <w:rFonts w:ascii="Arial" w:hAnsi="Arial" w:cs="Arial"/>
        </w:rPr>
        <w:t xml:space="preserve">tav (11) </w:t>
      </w:r>
      <w:proofErr w:type="spellStart"/>
      <w:r w:rsidR="00640F14" w:rsidRPr="00902155">
        <w:rPr>
          <w:rFonts w:ascii="Arial" w:hAnsi="Arial" w:cs="Arial"/>
        </w:rPr>
        <w:t>riječi:„ili</w:t>
      </w:r>
      <w:proofErr w:type="spellEnd"/>
      <w:r w:rsidR="00640F14" w:rsidRPr="00902155">
        <w:rPr>
          <w:rFonts w:ascii="Arial" w:hAnsi="Arial" w:cs="Arial"/>
        </w:rPr>
        <w:t xml:space="preserve"> sačiniti njegovu kopiju uvidom u original ili ovjerenu kopiju kojom se smatra i elektronski dokument“</w:t>
      </w:r>
      <w:r w:rsidR="00D42193">
        <w:rPr>
          <w:rFonts w:ascii="Arial" w:hAnsi="Arial" w:cs="Arial"/>
        </w:rPr>
        <w:t xml:space="preserve"> </w:t>
      </w:r>
      <w:r w:rsidR="00640F14" w:rsidRPr="00902155">
        <w:rPr>
          <w:rFonts w:ascii="Arial" w:hAnsi="Arial" w:cs="Arial"/>
        </w:rPr>
        <w:t>zamjenjuju se riječima:</w:t>
      </w:r>
      <w:r w:rsidR="00D42193">
        <w:rPr>
          <w:rFonts w:ascii="Arial" w:hAnsi="Arial" w:cs="Arial"/>
        </w:rPr>
        <w:t xml:space="preserve"> </w:t>
      </w:r>
      <w:r w:rsidR="00640F14" w:rsidRPr="00902155">
        <w:rPr>
          <w:rFonts w:ascii="Arial" w:hAnsi="Arial" w:cs="Arial"/>
        </w:rPr>
        <w:t>„ili sačiniti njegovu kopiju (ili skenirati), uvidom u original“.</w:t>
      </w:r>
    </w:p>
    <w:p w14:paraId="1801719D" w14:textId="77777777" w:rsidR="003C6CCE" w:rsidRPr="00902155" w:rsidRDefault="003C6CCE" w:rsidP="00BE316F">
      <w:pPr>
        <w:pStyle w:val="NoSpacing"/>
        <w:jc w:val="both"/>
        <w:rPr>
          <w:rFonts w:ascii="Arial" w:hAnsi="Arial" w:cs="Arial"/>
        </w:rPr>
      </w:pPr>
    </w:p>
    <w:p w14:paraId="32B1FA2B" w14:textId="43F81E35" w:rsidR="00C056A0" w:rsidRPr="00902155" w:rsidRDefault="00C056A0" w:rsidP="00BE316F">
      <w:pPr>
        <w:pStyle w:val="NoSpacing"/>
        <w:jc w:val="both"/>
        <w:rPr>
          <w:rFonts w:ascii="Arial" w:hAnsi="Arial" w:cs="Arial"/>
        </w:rPr>
      </w:pPr>
      <w:r w:rsidRPr="00902155">
        <w:rPr>
          <w:rFonts w:ascii="Arial" w:hAnsi="Arial" w:cs="Arial"/>
        </w:rPr>
        <w:t xml:space="preserve"> </w:t>
      </w:r>
      <w:r w:rsidR="00A6764E">
        <w:rPr>
          <w:rFonts w:ascii="Arial" w:hAnsi="Arial" w:cs="Arial"/>
        </w:rPr>
        <w:t>S</w:t>
      </w:r>
      <w:r w:rsidRPr="00902155">
        <w:rPr>
          <w:rFonts w:ascii="Arial" w:hAnsi="Arial" w:cs="Arial"/>
        </w:rPr>
        <w:t>tav (1</w:t>
      </w:r>
      <w:r w:rsidR="003C6CCE">
        <w:rPr>
          <w:rFonts w:ascii="Arial" w:hAnsi="Arial" w:cs="Arial"/>
        </w:rPr>
        <w:t>2</w:t>
      </w:r>
      <w:r w:rsidRPr="00902155">
        <w:rPr>
          <w:rFonts w:ascii="Arial" w:hAnsi="Arial" w:cs="Arial"/>
        </w:rPr>
        <w:t xml:space="preserve">) </w:t>
      </w:r>
      <w:proofErr w:type="spellStart"/>
      <w:r w:rsidR="007F3E38">
        <w:rPr>
          <w:rFonts w:ascii="Arial" w:hAnsi="Arial" w:cs="Arial"/>
        </w:rPr>
        <w:t>mjenja</w:t>
      </w:r>
      <w:proofErr w:type="spellEnd"/>
      <w:r w:rsidR="007F3E38">
        <w:rPr>
          <w:rFonts w:ascii="Arial" w:hAnsi="Arial" w:cs="Arial"/>
        </w:rPr>
        <w:t xml:space="preserve"> se i</w:t>
      </w:r>
      <w:r w:rsidRPr="00902155">
        <w:rPr>
          <w:rFonts w:ascii="Arial" w:hAnsi="Arial" w:cs="Arial"/>
        </w:rPr>
        <w:t xml:space="preserve"> </w:t>
      </w:r>
      <w:proofErr w:type="spellStart"/>
      <w:r w:rsidRPr="00902155">
        <w:rPr>
          <w:rFonts w:ascii="Arial" w:hAnsi="Arial" w:cs="Arial"/>
        </w:rPr>
        <w:t>glasi</w:t>
      </w:r>
      <w:proofErr w:type="spellEnd"/>
      <w:r w:rsidRPr="00902155">
        <w:rPr>
          <w:rFonts w:ascii="Arial" w:hAnsi="Arial" w:cs="Arial"/>
        </w:rPr>
        <w:t>:</w:t>
      </w:r>
    </w:p>
    <w:p w14:paraId="469D68E4" w14:textId="31940185" w:rsidR="00C056A0" w:rsidRDefault="00C056A0" w:rsidP="00BE316F">
      <w:pPr>
        <w:pStyle w:val="NoSpacing"/>
        <w:jc w:val="both"/>
        <w:rPr>
          <w:rFonts w:ascii="Arial" w:hAnsi="Arial" w:cs="Arial"/>
        </w:rPr>
      </w:pPr>
      <w:r w:rsidRPr="00902155">
        <w:rPr>
          <w:rFonts w:ascii="Arial" w:hAnsi="Arial" w:cs="Arial"/>
        </w:rPr>
        <w:t>„(12) U slučaju stranih dokumenata, ne oslanjajući se samo na identifikacione dokumente, koji se prikupljaju u postupku identifikacije klijenta i njegovih transakcija  koji nisu napisani na jednom od jezika koji se koriste u Bosni i Hercegovini, obveznik će od klijenta pribaviti prevod, ovjeren od strane ovlaštenog sudskog tumača.“</w:t>
      </w:r>
    </w:p>
    <w:p w14:paraId="665BEAD1" w14:textId="77777777" w:rsidR="003C6CCE" w:rsidRPr="00902155" w:rsidRDefault="003C6CCE" w:rsidP="00BE316F">
      <w:pPr>
        <w:pStyle w:val="NoSpacing"/>
        <w:jc w:val="both"/>
        <w:rPr>
          <w:rFonts w:ascii="Arial" w:hAnsi="Arial" w:cs="Arial"/>
        </w:rPr>
      </w:pPr>
    </w:p>
    <w:p w14:paraId="72E0FBFE" w14:textId="59878D65" w:rsidR="00640F14" w:rsidRPr="00902155" w:rsidRDefault="00640F14" w:rsidP="008334F2">
      <w:pPr>
        <w:pStyle w:val="NoSpacing"/>
        <w:jc w:val="center"/>
        <w:rPr>
          <w:rFonts w:ascii="Arial" w:hAnsi="Arial" w:cs="Arial"/>
        </w:rPr>
      </w:pPr>
      <w:r w:rsidRPr="00902155">
        <w:rPr>
          <w:rFonts w:ascii="Arial" w:hAnsi="Arial" w:cs="Arial"/>
        </w:rPr>
        <w:t xml:space="preserve">Član 9. </w:t>
      </w:r>
    </w:p>
    <w:p w14:paraId="592FD069" w14:textId="211E172F" w:rsidR="008334F2" w:rsidRPr="00902155" w:rsidRDefault="00640F14" w:rsidP="008334F2">
      <w:pPr>
        <w:pStyle w:val="NoSpacing"/>
        <w:jc w:val="both"/>
        <w:rPr>
          <w:rFonts w:ascii="Arial" w:hAnsi="Arial" w:cs="Arial"/>
        </w:rPr>
      </w:pPr>
      <w:r w:rsidRPr="00902155">
        <w:rPr>
          <w:rFonts w:ascii="Arial" w:hAnsi="Arial" w:cs="Arial"/>
        </w:rPr>
        <w:t>U članu 17. stav (2) riječi:</w:t>
      </w:r>
      <w:r w:rsidR="00991167">
        <w:rPr>
          <w:rFonts w:ascii="Arial" w:hAnsi="Arial" w:cs="Arial"/>
        </w:rPr>
        <w:t xml:space="preserve"> </w:t>
      </w:r>
      <w:r w:rsidRPr="00902155">
        <w:rPr>
          <w:rFonts w:ascii="Arial" w:hAnsi="Arial" w:cs="Arial"/>
        </w:rPr>
        <w:t>„</w:t>
      </w:r>
      <w:r w:rsidR="008334F2" w:rsidRPr="00902155">
        <w:rPr>
          <w:rFonts w:ascii="Arial" w:hAnsi="Arial" w:cs="Arial"/>
        </w:rPr>
        <w:t xml:space="preserve">ili da sačini kopiju iste uvidom u original </w:t>
      </w:r>
      <w:r w:rsidR="004F3C27" w:rsidRPr="00902155">
        <w:rPr>
          <w:rFonts w:ascii="Arial" w:hAnsi="Arial" w:cs="Arial"/>
        </w:rPr>
        <w:t>ili ovjerenu kopiju, kojom se smatra i elektronski dokument</w:t>
      </w:r>
      <w:r w:rsidR="008334F2" w:rsidRPr="00902155">
        <w:rPr>
          <w:rFonts w:ascii="Arial" w:hAnsi="Arial" w:cs="Arial"/>
        </w:rPr>
        <w:t>.</w:t>
      </w:r>
      <w:r w:rsidR="004F3C27" w:rsidRPr="00902155">
        <w:rPr>
          <w:rFonts w:ascii="Arial" w:hAnsi="Arial" w:cs="Arial"/>
        </w:rPr>
        <w:t>“</w:t>
      </w:r>
      <w:r w:rsidR="00991167">
        <w:rPr>
          <w:rFonts w:ascii="Arial" w:hAnsi="Arial" w:cs="Arial"/>
        </w:rPr>
        <w:t xml:space="preserve"> </w:t>
      </w:r>
      <w:r w:rsidRPr="00902155">
        <w:rPr>
          <w:rFonts w:ascii="Arial" w:hAnsi="Arial" w:cs="Arial"/>
        </w:rPr>
        <w:t>zamjenjuju se riječima:</w:t>
      </w:r>
      <w:r w:rsidR="00991167">
        <w:rPr>
          <w:rFonts w:ascii="Arial" w:hAnsi="Arial" w:cs="Arial"/>
        </w:rPr>
        <w:t xml:space="preserve"> </w:t>
      </w:r>
      <w:r w:rsidR="008334F2" w:rsidRPr="00902155">
        <w:rPr>
          <w:rFonts w:ascii="Arial" w:hAnsi="Arial" w:cs="Arial"/>
        </w:rPr>
        <w:t>„ili da sačini kopiju iste (ili skenirati) uvidom u original</w:t>
      </w:r>
      <w:r w:rsidR="004F3C27" w:rsidRPr="00902155">
        <w:rPr>
          <w:rFonts w:ascii="Arial" w:hAnsi="Arial" w:cs="Arial"/>
        </w:rPr>
        <w:t>.</w:t>
      </w:r>
      <w:r w:rsidR="008334F2" w:rsidRPr="00902155">
        <w:rPr>
          <w:rFonts w:ascii="Arial" w:hAnsi="Arial" w:cs="Arial"/>
        </w:rPr>
        <w:t>“</w:t>
      </w:r>
    </w:p>
    <w:p w14:paraId="4390B68C" w14:textId="7DC23E22" w:rsidR="00BE316F" w:rsidRPr="00902155" w:rsidRDefault="00BE316F" w:rsidP="00BE316F">
      <w:pPr>
        <w:pStyle w:val="NoSpacing"/>
        <w:jc w:val="both"/>
        <w:rPr>
          <w:rFonts w:ascii="Arial" w:hAnsi="Arial" w:cs="Arial"/>
        </w:rPr>
      </w:pPr>
    </w:p>
    <w:p w14:paraId="40484E42" w14:textId="15BFD65A" w:rsidR="008334F2" w:rsidRPr="00902155" w:rsidRDefault="003A43DF" w:rsidP="003A43DF">
      <w:pPr>
        <w:pStyle w:val="NoSpacing"/>
        <w:jc w:val="center"/>
        <w:rPr>
          <w:rFonts w:ascii="Arial" w:hAnsi="Arial" w:cs="Arial"/>
        </w:rPr>
      </w:pPr>
      <w:r w:rsidRPr="00902155">
        <w:rPr>
          <w:rFonts w:ascii="Arial" w:hAnsi="Arial" w:cs="Arial"/>
        </w:rPr>
        <w:t xml:space="preserve">Član 10. </w:t>
      </w:r>
    </w:p>
    <w:p w14:paraId="35064326" w14:textId="2679475D" w:rsidR="003A43DF" w:rsidRPr="00902155" w:rsidRDefault="003A43DF" w:rsidP="003A43DF">
      <w:pPr>
        <w:pStyle w:val="NoSpacing"/>
        <w:jc w:val="both"/>
        <w:rPr>
          <w:rFonts w:ascii="Arial" w:hAnsi="Arial" w:cs="Arial"/>
        </w:rPr>
      </w:pPr>
      <w:r w:rsidRPr="00902155">
        <w:rPr>
          <w:rFonts w:ascii="Arial" w:hAnsi="Arial" w:cs="Arial"/>
        </w:rPr>
        <w:t xml:space="preserve">U članu 19. stav (2) tačka a) mijenja se </w:t>
      </w:r>
      <w:r w:rsidR="00F374C6" w:rsidRPr="00902155">
        <w:rPr>
          <w:rFonts w:ascii="Arial" w:hAnsi="Arial" w:cs="Arial"/>
        </w:rPr>
        <w:t>i</w:t>
      </w:r>
      <w:r w:rsidRPr="00902155">
        <w:rPr>
          <w:rFonts w:ascii="Arial" w:hAnsi="Arial" w:cs="Arial"/>
        </w:rPr>
        <w:t xml:space="preserve"> glasi: </w:t>
      </w:r>
    </w:p>
    <w:p w14:paraId="6C913252" w14:textId="57CBB83A" w:rsidR="003A43DF" w:rsidRPr="00902155" w:rsidRDefault="003A43DF" w:rsidP="003A43DF">
      <w:pPr>
        <w:pStyle w:val="NoSpacing"/>
        <w:jc w:val="both"/>
        <w:rPr>
          <w:rFonts w:ascii="Arial" w:hAnsi="Arial" w:cs="Arial"/>
        </w:rPr>
      </w:pPr>
      <w:r w:rsidRPr="00902155">
        <w:rPr>
          <w:rFonts w:ascii="Arial" w:hAnsi="Arial" w:cs="Arial"/>
        </w:rPr>
        <w:t>„a) nadležni organi i institucije bez obzira na administrativni nivo (nivo Bosne i Hercegovine, entiteti, Brčko Distrikt, kantoni, općine),“</w:t>
      </w:r>
      <w:r w:rsidR="0033627E">
        <w:rPr>
          <w:rFonts w:ascii="Arial" w:hAnsi="Arial" w:cs="Arial"/>
        </w:rPr>
        <w:t>.</w:t>
      </w:r>
    </w:p>
    <w:p w14:paraId="43E2E6E4" w14:textId="77777777" w:rsidR="003A43DF" w:rsidRPr="00902155" w:rsidRDefault="003A43DF" w:rsidP="003A43DF">
      <w:pPr>
        <w:pStyle w:val="NoSpacing"/>
        <w:jc w:val="both"/>
        <w:rPr>
          <w:rFonts w:ascii="Arial" w:hAnsi="Arial" w:cs="Arial"/>
        </w:rPr>
      </w:pPr>
    </w:p>
    <w:p w14:paraId="168995EE" w14:textId="7DAF3213" w:rsidR="00A74B7D" w:rsidRPr="00902155" w:rsidRDefault="003A43DF" w:rsidP="003A43DF">
      <w:pPr>
        <w:pStyle w:val="NoSpacing"/>
        <w:jc w:val="both"/>
        <w:rPr>
          <w:rFonts w:ascii="Arial" w:hAnsi="Arial" w:cs="Arial"/>
        </w:rPr>
      </w:pPr>
      <w:r w:rsidRPr="00902155">
        <w:rPr>
          <w:rFonts w:ascii="Arial" w:hAnsi="Arial" w:cs="Arial"/>
        </w:rPr>
        <w:lastRenderedPageBreak/>
        <w:t>U stavu (2) tačka b) riječ „državni“ zamjenjuje se riječju „nadležni“</w:t>
      </w:r>
      <w:r w:rsidR="00A74B7D" w:rsidRPr="00902155">
        <w:rPr>
          <w:rFonts w:ascii="Arial" w:hAnsi="Arial" w:cs="Arial"/>
        </w:rPr>
        <w:t xml:space="preserve">, </w:t>
      </w:r>
      <w:r w:rsidR="002A5CEF">
        <w:rPr>
          <w:rFonts w:ascii="Arial" w:hAnsi="Arial" w:cs="Arial"/>
        </w:rPr>
        <w:t>a</w:t>
      </w:r>
      <w:r w:rsidR="00A74B7D" w:rsidRPr="00902155">
        <w:rPr>
          <w:rFonts w:ascii="Arial" w:hAnsi="Arial" w:cs="Arial"/>
        </w:rPr>
        <w:t xml:space="preserve"> u tački c) </w:t>
      </w:r>
      <w:r w:rsidR="005C2F05" w:rsidRPr="00902155">
        <w:rPr>
          <w:rFonts w:ascii="Arial" w:hAnsi="Arial" w:cs="Arial"/>
        </w:rPr>
        <w:t>riječi „predmetnim mjerama“ zamjenjuju s</w:t>
      </w:r>
      <w:r w:rsidR="006707C1">
        <w:rPr>
          <w:rFonts w:ascii="Arial" w:hAnsi="Arial" w:cs="Arial"/>
        </w:rPr>
        <w:t>e</w:t>
      </w:r>
      <w:r w:rsidR="005C2F05" w:rsidRPr="00902155">
        <w:rPr>
          <w:rFonts w:ascii="Arial" w:hAnsi="Arial" w:cs="Arial"/>
        </w:rPr>
        <w:t xml:space="preserve"> riječima „primjenom Zakona o SPN/FTA i drugih propisa u vezi SPN/FTA“.</w:t>
      </w:r>
    </w:p>
    <w:p w14:paraId="126ED7DC" w14:textId="77777777" w:rsidR="005C2F05" w:rsidRPr="00902155" w:rsidRDefault="005C2F05" w:rsidP="003A43DF">
      <w:pPr>
        <w:pStyle w:val="NoSpacing"/>
        <w:jc w:val="both"/>
        <w:rPr>
          <w:rFonts w:ascii="Arial" w:hAnsi="Arial" w:cs="Arial"/>
        </w:rPr>
      </w:pPr>
    </w:p>
    <w:p w14:paraId="78C2E9A1" w14:textId="76C66D99" w:rsidR="005C2F05" w:rsidRPr="00902155" w:rsidRDefault="005C2F05" w:rsidP="003A43DF">
      <w:pPr>
        <w:pStyle w:val="NoSpacing"/>
        <w:jc w:val="both"/>
        <w:rPr>
          <w:rFonts w:ascii="Arial" w:hAnsi="Arial" w:cs="Arial"/>
        </w:rPr>
      </w:pPr>
      <w:r w:rsidRPr="00902155">
        <w:rPr>
          <w:rFonts w:ascii="Arial" w:hAnsi="Arial" w:cs="Arial"/>
        </w:rPr>
        <w:t>U stavu (3) iza riječi „</w:t>
      </w:r>
      <w:proofErr w:type="spellStart"/>
      <w:r w:rsidRPr="00902155">
        <w:rPr>
          <w:rFonts w:ascii="Arial" w:hAnsi="Arial" w:cs="Arial"/>
        </w:rPr>
        <w:t>praćenja</w:t>
      </w:r>
      <w:proofErr w:type="spellEnd"/>
      <w:r w:rsidRPr="00902155">
        <w:rPr>
          <w:rFonts w:ascii="Arial" w:hAnsi="Arial" w:cs="Arial"/>
        </w:rPr>
        <w:t>“ dodaju se riječi</w:t>
      </w:r>
      <w:r w:rsidR="00263D5E">
        <w:rPr>
          <w:rFonts w:ascii="Arial" w:hAnsi="Arial" w:cs="Arial"/>
        </w:rPr>
        <w:t>:</w:t>
      </w:r>
      <w:r w:rsidRPr="00902155">
        <w:rPr>
          <w:rFonts w:ascii="Arial" w:hAnsi="Arial" w:cs="Arial"/>
        </w:rPr>
        <w:t xml:space="preserve"> „uzimajući u obzir odredbe člana 29. Pravilnika“</w:t>
      </w:r>
      <w:r w:rsidR="00263D5E">
        <w:rPr>
          <w:rFonts w:ascii="Arial" w:hAnsi="Arial" w:cs="Arial"/>
        </w:rPr>
        <w:t>.</w:t>
      </w:r>
    </w:p>
    <w:p w14:paraId="53AFFC18" w14:textId="77777777" w:rsidR="00F374C6" w:rsidRPr="00902155" w:rsidRDefault="00F374C6" w:rsidP="003A43DF">
      <w:pPr>
        <w:pStyle w:val="NoSpacing"/>
        <w:jc w:val="both"/>
        <w:rPr>
          <w:rFonts w:ascii="Arial" w:hAnsi="Arial" w:cs="Arial"/>
        </w:rPr>
      </w:pPr>
    </w:p>
    <w:p w14:paraId="08D013A6" w14:textId="7680A8A9" w:rsidR="00F374C6" w:rsidRPr="00902155" w:rsidRDefault="00F374C6" w:rsidP="003A43DF">
      <w:pPr>
        <w:pStyle w:val="NoSpacing"/>
        <w:jc w:val="both"/>
        <w:rPr>
          <w:rFonts w:ascii="Arial" w:hAnsi="Arial" w:cs="Arial"/>
        </w:rPr>
      </w:pPr>
      <w:r w:rsidRPr="00902155">
        <w:rPr>
          <w:rFonts w:ascii="Arial" w:hAnsi="Arial" w:cs="Arial"/>
        </w:rPr>
        <w:t>Iza stava (5) dodaje se novi stav (6) koji glasi:</w:t>
      </w:r>
    </w:p>
    <w:p w14:paraId="0579A4D6" w14:textId="7CDEF57E" w:rsidR="00F374C6" w:rsidRPr="00902155" w:rsidRDefault="00F374C6" w:rsidP="003A43DF">
      <w:pPr>
        <w:pStyle w:val="NoSpacing"/>
        <w:jc w:val="both"/>
        <w:rPr>
          <w:rFonts w:ascii="Arial" w:hAnsi="Arial" w:cs="Arial"/>
        </w:rPr>
      </w:pPr>
      <w:r w:rsidRPr="00902155">
        <w:rPr>
          <w:rFonts w:ascii="Arial" w:hAnsi="Arial" w:cs="Arial"/>
        </w:rPr>
        <w:t>„(6) Prilikom provođenja pojednostavljenih mjera identifikacije i praćenja klijenta obveznik je dužan da uspostavi adekvatan nivo praćenja poslovanja klijenta, kako bi bio u stanju da otkrije neuobičajene i sumnjive transakcije.“</w:t>
      </w:r>
      <w:r w:rsidR="009D6900">
        <w:rPr>
          <w:rFonts w:ascii="Arial" w:hAnsi="Arial" w:cs="Arial"/>
        </w:rPr>
        <w:t>.</w:t>
      </w:r>
    </w:p>
    <w:p w14:paraId="319B33E4" w14:textId="77777777" w:rsidR="0005261A" w:rsidRPr="00902155" w:rsidRDefault="0005261A" w:rsidP="003A43DF">
      <w:pPr>
        <w:pStyle w:val="NoSpacing"/>
        <w:jc w:val="both"/>
        <w:rPr>
          <w:rFonts w:ascii="Arial" w:hAnsi="Arial" w:cs="Arial"/>
        </w:rPr>
      </w:pPr>
    </w:p>
    <w:p w14:paraId="1CC90A1C" w14:textId="64ACFC1F" w:rsidR="0005261A" w:rsidRPr="00902155" w:rsidRDefault="0005261A" w:rsidP="0005261A">
      <w:pPr>
        <w:pStyle w:val="NoSpacing"/>
        <w:jc w:val="center"/>
        <w:rPr>
          <w:rFonts w:ascii="Arial" w:hAnsi="Arial" w:cs="Arial"/>
        </w:rPr>
      </w:pPr>
      <w:r w:rsidRPr="00902155">
        <w:rPr>
          <w:rFonts w:ascii="Arial" w:hAnsi="Arial" w:cs="Arial"/>
        </w:rPr>
        <w:t>Član 1</w:t>
      </w:r>
      <w:r w:rsidR="00AF64BF">
        <w:rPr>
          <w:rFonts w:ascii="Arial" w:hAnsi="Arial" w:cs="Arial"/>
        </w:rPr>
        <w:t>1</w:t>
      </w:r>
      <w:r w:rsidRPr="00902155">
        <w:rPr>
          <w:rFonts w:ascii="Arial" w:hAnsi="Arial" w:cs="Arial"/>
        </w:rPr>
        <w:t>.</w:t>
      </w:r>
    </w:p>
    <w:p w14:paraId="635B73A1" w14:textId="408753BA" w:rsidR="0005261A" w:rsidRPr="00902155" w:rsidRDefault="0005261A" w:rsidP="0005261A">
      <w:pPr>
        <w:pStyle w:val="NoSpacing"/>
        <w:jc w:val="both"/>
        <w:rPr>
          <w:rFonts w:ascii="Arial" w:hAnsi="Arial" w:cs="Arial"/>
        </w:rPr>
      </w:pPr>
      <w:r w:rsidRPr="00902155">
        <w:rPr>
          <w:rFonts w:ascii="Arial" w:hAnsi="Arial" w:cs="Arial"/>
        </w:rPr>
        <w:t>U članu 20. stav (3) riječi</w:t>
      </w:r>
      <w:r w:rsidR="00E74D10">
        <w:rPr>
          <w:rFonts w:ascii="Arial" w:hAnsi="Arial" w:cs="Arial"/>
        </w:rPr>
        <w:t>:</w:t>
      </w:r>
      <w:r w:rsidRPr="00902155">
        <w:rPr>
          <w:rFonts w:ascii="Arial" w:hAnsi="Arial" w:cs="Arial"/>
        </w:rPr>
        <w:t xml:space="preserve"> „pored redovnih mjera“ zamjenjuju se riječima</w:t>
      </w:r>
      <w:r w:rsidR="00E74D10">
        <w:rPr>
          <w:rFonts w:ascii="Arial" w:hAnsi="Arial" w:cs="Arial"/>
        </w:rPr>
        <w:t>:</w:t>
      </w:r>
      <w:r w:rsidRPr="00902155">
        <w:rPr>
          <w:rFonts w:ascii="Arial" w:hAnsi="Arial" w:cs="Arial"/>
        </w:rPr>
        <w:t xml:space="preserve"> „osim mjera iz člana 11. Zakona o SPN/FTA“. </w:t>
      </w:r>
    </w:p>
    <w:p w14:paraId="47F81377" w14:textId="77777777" w:rsidR="0005261A" w:rsidRPr="00902155" w:rsidRDefault="0005261A" w:rsidP="0005261A">
      <w:pPr>
        <w:pStyle w:val="NoSpacing"/>
        <w:jc w:val="both"/>
        <w:rPr>
          <w:rFonts w:ascii="Arial" w:hAnsi="Arial" w:cs="Arial"/>
        </w:rPr>
      </w:pPr>
    </w:p>
    <w:p w14:paraId="09AC2A98" w14:textId="50882614" w:rsidR="0005261A" w:rsidRPr="00902155" w:rsidRDefault="0005261A" w:rsidP="00991167">
      <w:pPr>
        <w:pStyle w:val="NoSpacing"/>
        <w:jc w:val="center"/>
        <w:rPr>
          <w:rFonts w:ascii="Arial" w:hAnsi="Arial" w:cs="Arial"/>
        </w:rPr>
      </w:pPr>
      <w:r w:rsidRPr="00902155">
        <w:rPr>
          <w:rFonts w:ascii="Arial" w:hAnsi="Arial" w:cs="Arial"/>
        </w:rPr>
        <w:t>Član 1</w:t>
      </w:r>
      <w:r w:rsidR="00AF64BF">
        <w:rPr>
          <w:rFonts w:ascii="Arial" w:hAnsi="Arial" w:cs="Arial"/>
        </w:rPr>
        <w:t>2</w:t>
      </w:r>
      <w:r w:rsidRPr="00902155">
        <w:rPr>
          <w:rFonts w:ascii="Arial" w:hAnsi="Arial" w:cs="Arial"/>
        </w:rPr>
        <w:t xml:space="preserve">. </w:t>
      </w:r>
    </w:p>
    <w:p w14:paraId="6D58AEF0" w14:textId="656409F9" w:rsidR="0005261A" w:rsidRDefault="0005261A" w:rsidP="0005261A">
      <w:pPr>
        <w:pStyle w:val="NoSpacing"/>
        <w:jc w:val="both"/>
        <w:rPr>
          <w:rFonts w:ascii="Arial" w:hAnsi="Arial" w:cs="Arial"/>
        </w:rPr>
      </w:pPr>
      <w:r w:rsidRPr="00902155">
        <w:rPr>
          <w:rFonts w:ascii="Arial" w:hAnsi="Arial" w:cs="Arial"/>
        </w:rPr>
        <w:t xml:space="preserve">Iza člana 26. dodaje se novi član 26a. koji glasi: </w:t>
      </w:r>
    </w:p>
    <w:p w14:paraId="05BCD4E8" w14:textId="77777777" w:rsidR="00991167" w:rsidRPr="00902155" w:rsidRDefault="00991167" w:rsidP="0005261A">
      <w:pPr>
        <w:pStyle w:val="NoSpacing"/>
        <w:jc w:val="both"/>
        <w:rPr>
          <w:rFonts w:ascii="Arial" w:hAnsi="Arial" w:cs="Arial"/>
        </w:rPr>
      </w:pPr>
    </w:p>
    <w:p w14:paraId="013FDF4D" w14:textId="5AC90F91" w:rsidR="0005261A" w:rsidRPr="00902155" w:rsidRDefault="0005261A" w:rsidP="0005261A">
      <w:pPr>
        <w:pStyle w:val="NoSpacing"/>
        <w:jc w:val="center"/>
        <w:rPr>
          <w:rFonts w:ascii="Arial" w:hAnsi="Arial" w:cs="Arial"/>
        </w:rPr>
      </w:pPr>
      <w:r w:rsidRPr="00902155">
        <w:rPr>
          <w:rFonts w:ascii="Arial" w:hAnsi="Arial" w:cs="Arial"/>
        </w:rPr>
        <w:t>„Mjere pojačane identifikacije i praćenja  koje se primjenjuju na klijente iz zemalja sa strateškim nedostacima i zemalja u kojima postoji veća vjerovatnoća pojavljivanja pranja novca i finansiranja terorističkih aktivnosti i druge visokorizične situacije</w:t>
      </w:r>
    </w:p>
    <w:p w14:paraId="0A664A45" w14:textId="77777777" w:rsidR="0005261A" w:rsidRPr="00902155" w:rsidRDefault="0005261A" w:rsidP="0005261A">
      <w:pPr>
        <w:pStyle w:val="NoSpacing"/>
        <w:jc w:val="center"/>
        <w:rPr>
          <w:rFonts w:ascii="Arial" w:hAnsi="Arial" w:cs="Arial"/>
        </w:rPr>
      </w:pPr>
    </w:p>
    <w:p w14:paraId="113BDC83" w14:textId="77777777" w:rsidR="0005261A" w:rsidRPr="00902155" w:rsidRDefault="0005261A" w:rsidP="0005261A">
      <w:pPr>
        <w:pStyle w:val="NoSpacing"/>
        <w:jc w:val="center"/>
        <w:rPr>
          <w:rFonts w:ascii="Arial" w:hAnsi="Arial" w:cs="Arial"/>
        </w:rPr>
      </w:pPr>
      <w:r w:rsidRPr="00902155">
        <w:rPr>
          <w:rFonts w:ascii="Arial" w:hAnsi="Arial" w:cs="Arial"/>
        </w:rPr>
        <w:t>Član 26a.</w:t>
      </w:r>
    </w:p>
    <w:p w14:paraId="40874958" w14:textId="77777777" w:rsidR="0005261A" w:rsidRPr="00902155" w:rsidRDefault="0005261A" w:rsidP="0005261A">
      <w:pPr>
        <w:pStyle w:val="NoSpacing"/>
        <w:jc w:val="both"/>
        <w:rPr>
          <w:rFonts w:ascii="Arial" w:hAnsi="Arial" w:cs="Arial"/>
        </w:rPr>
      </w:pPr>
    </w:p>
    <w:p w14:paraId="21159C8F" w14:textId="07EF2AD6" w:rsidR="0005261A" w:rsidRPr="00902155" w:rsidRDefault="0005261A" w:rsidP="00C325AF">
      <w:pPr>
        <w:pStyle w:val="NoSpacing"/>
        <w:numPr>
          <w:ilvl w:val="1"/>
          <w:numId w:val="5"/>
        </w:numPr>
        <w:ind w:left="426" w:hanging="426"/>
        <w:jc w:val="both"/>
        <w:rPr>
          <w:rFonts w:ascii="Arial" w:hAnsi="Arial" w:cs="Arial"/>
        </w:rPr>
      </w:pPr>
      <w:r w:rsidRPr="00902155">
        <w:rPr>
          <w:rFonts w:ascii="Arial" w:hAnsi="Arial" w:cs="Arial"/>
        </w:rPr>
        <w:t>Kada je klijent iz zemlje sa strateškim nedostacima ili zemlje u kojoj postoji veća vjerovatnoća pojavljivanja pranja novca i finansiranja terorističkih aktivnosti iz člana 37. Pravilnika ili transakcija da uključuje takve zemlje, te u svim drugim visokorizičnim situacijama, obveznik je dužan internim politikama propisati mjere pojačane identifikacije i praćenja primjerene za određenu visokorizičnu situaciju, uzimajući u obzir one koje su propisane članom 35. Zakona o SPN/FTA, Pravilnikom i ovim Smjernicama, te ih dosljedno primjenjivati.</w:t>
      </w:r>
    </w:p>
    <w:p w14:paraId="5523E52D" w14:textId="3DA04792" w:rsidR="0005261A" w:rsidRPr="00902155" w:rsidRDefault="0005261A" w:rsidP="00C325AF">
      <w:pPr>
        <w:pStyle w:val="NoSpacing"/>
        <w:numPr>
          <w:ilvl w:val="1"/>
          <w:numId w:val="5"/>
        </w:numPr>
        <w:ind w:left="426" w:hanging="426"/>
        <w:jc w:val="both"/>
        <w:rPr>
          <w:rFonts w:ascii="Arial" w:hAnsi="Arial" w:cs="Arial"/>
        </w:rPr>
      </w:pPr>
      <w:r w:rsidRPr="00902155">
        <w:rPr>
          <w:rFonts w:ascii="Arial" w:hAnsi="Arial" w:cs="Arial"/>
        </w:rPr>
        <w:t>Primjerena vrsta pojačane identifikacije i praćenja, uključujući obim traženih dodatnih informacija i provedenog povećanog nadzora, treba zavisiti od razloga zbog kojeg je određena povremena transakcija ili određeni poslovni odnos kategoriziran kao visokorizičan.</w:t>
      </w:r>
    </w:p>
    <w:p w14:paraId="5D1BD746" w14:textId="5E0FE02E" w:rsidR="0005261A" w:rsidRPr="00902155" w:rsidRDefault="0005261A" w:rsidP="00C325AF">
      <w:pPr>
        <w:pStyle w:val="NoSpacing"/>
        <w:numPr>
          <w:ilvl w:val="1"/>
          <w:numId w:val="5"/>
        </w:numPr>
        <w:ind w:left="426" w:hanging="426"/>
        <w:jc w:val="both"/>
        <w:rPr>
          <w:rFonts w:ascii="Arial" w:hAnsi="Arial" w:cs="Arial"/>
        </w:rPr>
      </w:pPr>
      <w:r w:rsidRPr="00902155">
        <w:rPr>
          <w:rFonts w:ascii="Arial" w:hAnsi="Arial" w:cs="Arial"/>
        </w:rPr>
        <w:t>Obveznik nije dužan u svim slučajevima kada je klijent iz zemlje sa strateškim nedostacima ili zemlje u kojoj postoji veća vjerovatnoća pojavljivanja pranja novca i finansiranja terorističkih aktivnosti iz člana 37. Pravilnika ili transakcija da uključuje takve zemlje, te u svim drugim visokorizičnim situacijama, primijeniti sve mjere pojačane identifikacije i praćenja, jer u određenim situacijama visokog rizika može biti dovoljno prim</w:t>
      </w:r>
      <w:r w:rsidR="00C052A9">
        <w:rPr>
          <w:rFonts w:ascii="Arial" w:hAnsi="Arial" w:cs="Arial"/>
        </w:rPr>
        <w:t>i</w:t>
      </w:r>
      <w:r w:rsidRPr="00902155">
        <w:rPr>
          <w:rFonts w:ascii="Arial" w:hAnsi="Arial" w:cs="Arial"/>
        </w:rPr>
        <w:t>jeniti  pojačano kontinuirano praćenje tokom trajanja poslovnog odnosa.</w:t>
      </w:r>
    </w:p>
    <w:p w14:paraId="1E63E9C3" w14:textId="45BED0D4" w:rsidR="0005261A" w:rsidRPr="00902155" w:rsidRDefault="0005261A" w:rsidP="00C325AF">
      <w:pPr>
        <w:pStyle w:val="NoSpacing"/>
        <w:numPr>
          <w:ilvl w:val="1"/>
          <w:numId w:val="5"/>
        </w:numPr>
        <w:ind w:left="426" w:hanging="426"/>
        <w:jc w:val="both"/>
        <w:rPr>
          <w:rFonts w:ascii="Arial" w:hAnsi="Arial" w:cs="Arial"/>
        </w:rPr>
      </w:pPr>
      <w:r w:rsidRPr="00902155">
        <w:rPr>
          <w:rFonts w:ascii="Arial" w:hAnsi="Arial" w:cs="Arial"/>
        </w:rPr>
        <w:t>Pri određivanju mjera pojačane identifikacije i praćenja, u slučaju kada je klijent iz zemlje sa strateškim nedostacima ili zemlje u kojoj postoji veća vjerovatnoća pojavljivanja pranja novca i finansiranja terorističkih aktivnosti iz člana 37. Pravilnika ili transakcija da uključuje takve zemlje, te u svim drugim visokorizičnim situacijama, obveznik je dužan razmotriti sve parametre navedene u članu 27. stav (4) Pravilnika.</w:t>
      </w:r>
      <w:r w:rsidR="00C052A9">
        <w:rPr>
          <w:rFonts w:ascii="Arial" w:hAnsi="Arial" w:cs="Arial"/>
        </w:rPr>
        <w:t>“</w:t>
      </w:r>
      <w:r w:rsidR="00FA4ACC">
        <w:rPr>
          <w:rFonts w:ascii="Arial" w:hAnsi="Arial" w:cs="Arial"/>
        </w:rPr>
        <w:t>.</w:t>
      </w:r>
    </w:p>
    <w:p w14:paraId="578FC720" w14:textId="77777777" w:rsidR="0005261A" w:rsidRPr="00902155" w:rsidRDefault="0005261A" w:rsidP="0005261A">
      <w:pPr>
        <w:pStyle w:val="NoSpacing"/>
        <w:jc w:val="both"/>
        <w:rPr>
          <w:rFonts w:ascii="Arial" w:hAnsi="Arial" w:cs="Arial"/>
        </w:rPr>
      </w:pPr>
    </w:p>
    <w:p w14:paraId="1082445E" w14:textId="66D39C40" w:rsidR="00FA3C65" w:rsidRPr="00902155" w:rsidRDefault="00FA3C65" w:rsidP="00FA3C65">
      <w:pPr>
        <w:pStyle w:val="NoSpacing"/>
        <w:jc w:val="center"/>
        <w:rPr>
          <w:rFonts w:ascii="Arial" w:hAnsi="Arial" w:cs="Arial"/>
        </w:rPr>
      </w:pPr>
      <w:r w:rsidRPr="00902155">
        <w:rPr>
          <w:rFonts w:ascii="Arial" w:hAnsi="Arial" w:cs="Arial"/>
        </w:rPr>
        <w:t>Član 1</w:t>
      </w:r>
      <w:r w:rsidR="00AF64BF">
        <w:rPr>
          <w:rFonts w:ascii="Arial" w:hAnsi="Arial" w:cs="Arial"/>
        </w:rPr>
        <w:t>3</w:t>
      </w:r>
      <w:r w:rsidRPr="00902155">
        <w:rPr>
          <w:rFonts w:ascii="Arial" w:hAnsi="Arial" w:cs="Arial"/>
        </w:rPr>
        <w:t xml:space="preserve">. </w:t>
      </w:r>
    </w:p>
    <w:p w14:paraId="41E5F27B" w14:textId="5FEBA969" w:rsidR="00FA3C65" w:rsidRPr="00902155" w:rsidRDefault="00FA3C65" w:rsidP="00FA3C65">
      <w:pPr>
        <w:pStyle w:val="NoSpacing"/>
        <w:jc w:val="both"/>
        <w:rPr>
          <w:rFonts w:ascii="Arial" w:hAnsi="Arial" w:cs="Arial"/>
        </w:rPr>
      </w:pPr>
      <w:r w:rsidRPr="00902155">
        <w:rPr>
          <w:rFonts w:ascii="Arial" w:hAnsi="Arial" w:cs="Arial"/>
        </w:rPr>
        <w:t>U članu 29. dodaju se stav</w:t>
      </w:r>
      <w:r w:rsidR="006801BF" w:rsidRPr="00902155">
        <w:rPr>
          <w:rFonts w:ascii="Arial" w:hAnsi="Arial" w:cs="Arial"/>
        </w:rPr>
        <w:t>ovi</w:t>
      </w:r>
      <w:r w:rsidRPr="00902155">
        <w:rPr>
          <w:rFonts w:ascii="Arial" w:hAnsi="Arial" w:cs="Arial"/>
        </w:rPr>
        <w:t xml:space="preserve"> (2) i (3) koji glase:</w:t>
      </w:r>
    </w:p>
    <w:p w14:paraId="46BA381C" w14:textId="77777777" w:rsidR="006801BF" w:rsidRPr="00902155" w:rsidRDefault="00FA3C65" w:rsidP="006801BF">
      <w:pPr>
        <w:pStyle w:val="NoSpacing"/>
        <w:jc w:val="both"/>
        <w:rPr>
          <w:rFonts w:ascii="Arial" w:hAnsi="Arial" w:cs="Arial"/>
        </w:rPr>
      </w:pPr>
      <w:r w:rsidRPr="00902155">
        <w:rPr>
          <w:rFonts w:ascii="Arial" w:hAnsi="Arial" w:cs="Arial"/>
        </w:rPr>
        <w:t>„</w:t>
      </w:r>
      <w:r w:rsidR="006801BF" w:rsidRPr="00902155">
        <w:rPr>
          <w:rFonts w:ascii="Arial" w:hAnsi="Arial" w:cs="Arial"/>
        </w:rPr>
        <w:t>(2) Analiza rizika treba biti proporcionalna prirodi i obimu poslovanja obveznika, te treba obuhvatiti rizike koji se odnose, kako na klijente, tako i one koji se odnose  na proizvode, usluge, transakcije, države, geografska područja i distribucione kanale, u skladu sa članom 6. stav (2) Pravilnika.</w:t>
      </w:r>
    </w:p>
    <w:p w14:paraId="1248161F" w14:textId="470D02A1" w:rsidR="00FA3C65" w:rsidRPr="00902155" w:rsidRDefault="006801BF" w:rsidP="006801BF">
      <w:pPr>
        <w:pStyle w:val="NoSpacing"/>
        <w:jc w:val="both"/>
        <w:rPr>
          <w:rFonts w:ascii="Arial" w:hAnsi="Arial" w:cs="Arial"/>
        </w:rPr>
      </w:pPr>
      <w:r w:rsidRPr="00902155">
        <w:rPr>
          <w:rFonts w:ascii="Arial" w:hAnsi="Arial" w:cs="Arial"/>
        </w:rPr>
        <w:lastRenderedPageBreak/>
        <w:t>(3) Obveznik je dužan analizom rizika uzeti u obzir  i druge faktore rizika koje je identifikovao zbog specifičnosti svog poslovanja.“</w:t>
      </w:r>
      <w:r w:rsidR="006E6C98">
        <w:rPr>
          <w:rFonts w:ascii="Arial" w:hAnsi="Arial" w:cs="Arial"/>
        </w:rPr>
        <w:t>.</w:t>
      </w:r>
    </w:p>
    <w:p w14:paraId="3BC8A9FC" w14:textId="77777777" w:rsidR="006801BF" w:rsidRPr="00902155" w:rsidRDefault="006801BF" w:rsidP="006801BF">
      <w:pPr>
        <w:pStyle w:val="NoSpacing"/>
        <w:jc w:val="both"/>
        <w:rPr>
          <w:rFonts w:ascii="Arial" w:hAnsi="Arial" w:cs="Arial"/>
        </w:rPr>
      </w:pPr>
    </w:p>
    <w:p w14:paraId="4A2B000D" w14:textId="22BEBC7A" w:rsidR="006801BF" w:rsidRPr="00902155" w:rsidRDefault="006801BF" w:rsidP="00C052A9">
      <w:pPr>
        <w:pStyle w:val="NoSpacing"/>
        <w:jc w:val="center"/>
        <w:rPr>
          <w:rFonts w:ascii="Arial" w:hAnsi="Arial" w:cs="Arial"/>
        </w:rPr>
      </w:pPr>
      <w:r w:rsidRPr="00902155">
        <w:rPr>
          <w:rFonts w:ascii="Arial" w:hAnsi="Arial" w:cs="Arial"/>
        </w:rPr>
        <w:t>Član 1</w:t>
      </w:r>
      <w:r w:rsidR="00AF64BF">
        <w:rPr>
          <w:rFonts w:ascii="Arial" w:hAnsi="Arial" w:cs="Arial"/>
        </w:rPr>
        <w:t>4</w:t>
      </w:r>
      <w:r w:rsidRPr="00902155">
        <w:rPr>
          <w:rFonts w:ascii="Arial" w:hAnsi="Arial" w:cs="Arial"/>
        </w:rPr>
        <w:t xml:space="preserve">. </w:t>
      </w:r>
    </w:p>
    <w:p w14:paraId="0182DD44" w14:textId="37372C1C" w:rsidR="006801BF" w:rsidRPr="00902155" w:rsidRDefault="006801BF" w:rsidP="006801BF">
      <w:pPr>
        <w:pStyle w:val="NoSpacing"/>
        <w:jc w:val="both"/>
        <w:rPr>
          <w:rFonts w:ascii="Arial" w:hAnsi="Arial" w:cs="Arial"/>
        </w:rPr>
      </w:pPr>
      <w:r w:rsidRPr="00902155">
        <w:rPr>
          <w:rFonts w:ascii="Arial" w:hAnsi="Arial" w:cs="Arial"/>
        </w:rPr>
        <w:t>U članu 32. ispred dosadašnjeg stava (1) dodaje se novi stav (1) koji glasi:</w:t>
      </w:r>
    </w:p>
    <w:p w14:paraId="601F406B" w14:textId="121E6B13" w:rsidR="006801BF" w:rsidRPr="00902155" w:rsidRDefault="006801BF" w:rsidP="006801BF">
      <w:pPr>
        <w:pStyle w:val="NoSpacing"/>
        <w:jc w:val="both"/>
        <w:rPr>
          <w:rFonts w:ascii="Arial" w:hAnsi="Arial" w:cs="Arial"/>
        </w:rPr>
      </w:pPr>
      <w:r w:rsidRPr="00902155">
        <w:rPr>
          <w:rFonts w:ascii="Arial" w:hAnsi="Arial" w:cs="Arial"/>
        </w:rPr>
        <w:t>„(1) Obveznik je dužan da u skladu sa odredbama člana 10. Zakona o SPN/FTA, člana 5. Pravilnika i ovim Smjernicama izvršiti procjenu rizika  za svaku grupu  ili vrstu klijenta, odnosno poslovni odnos, proizvod/uslugu koju obveznik pruža u okviru svoje djelatnosti, odnosno transakcije.“</w:t>
      </w:r>
      <w:r w:rsidR="00E1310E">
        <w:rPr>
          <w:rFonts w:ascii="Arial" w:hAnsi="Arial" w:cs="Arial"/>
        </w:rPr>
        <w:t>.</w:t>
      </w:r>
    </w:p>
    <w:p w14:paraId="055A448C" w14:textId="77777777" w:rsidR="006801BF" w:rsidRPr="00902155" w:rsidRDefault="006801BF" w:rsidP="006801BF">
      <w:pPr>
        <w:pStyle w:val="NoSpacing"/>
        <w:jc w:val="both"/>
        <w:rPr>
          <w:rFonts w:ascii="Arial" w:hAnsi="Arial" w:cs="Arial"/>
        </w:rPr>
      </w:pPr>
    </w:p>
    <w:p w14:paraId="0AF82683" w14:textId="040FEC06" w:rsidR="006801BF" w:rsidRPr="00902155" w:rsidRDefault="006801BF" w:rsidP="006801BF">
      <w:pPr>
        <w:pStyle w:val="NoSpacing"/>
        <w:jc w:val="both"/>
        <w:rPr>
          <w:rFonts w:ascii="Arial" w:hAnsi="Arial" w:cs="Arial"/>
        </w:rPr>
      </w:pPr>
      <w:r w:rsidRPr="00902155">
        <w:rPr>
          <w:rFonts w:ascii="Arial" w:hAnsi="Arial" w:cs="Arial"/>
        </w:rPr>
        <w:t>Dosadašnji stav (1) postaje stav (2).</w:t>
      </w:r>
    </w:p>
    <w:p w14:paraId="7B0185C0" w14:textId="77777777" w:rsidR="006801BF" w:rsidRPr="00902155" w:rsidRDefault="006801BF" w:rsidP="006801BF">
      <w:pPr>
        <w:pStyle w:val="NoSpacing"/>
        <w:jc w:val="both"/>
        <w:rPr>
          <w:rFonts w:ascii="Arial" w:hAnsi="Arial" w:cs="Arial"/>
        </w:rPr>
      </w:pPr>
    </w:p>
    <w:p w14:paraId="0F1FA094" w14:textId="4F0014EE" w:rsidR="006801BF" w:rsidRPr="00902155" w:rsidRDefault="006801BF" w:rsidP="006801BF">
      <w:pPr>
        <w:pStyle w:val="NoSpacing"/>
        <w:jc w:val="both"/>
        <w:rPr>
          <w:rFonts w:ascii="Arial" w:hAnsi="Arial" w:cs="Arial"/>
        </w:rPr>
      </w:pPr>
      <w:r w:rsidRPr="00902155">
        <w:rPr>
          <w:rFonts w:ascii="Arial" w:hAnsi="Arial" w:cs="Arial"/>
        </w:rPr>
        <w:t xml:space="preserve">Iza stava (2) dodaju se stavovi (3) i (4) koji glase: </w:t>
      </w:r>
    </w:p>
    <w:p w14:paraId="426CB2CF" w14:textId="77777777" w:rsidR="006801BF" w:rsidRPr="00902155" w:rsidRDefault="006801BF" w:rsidP="006801BF">
      <w:pPr>
        <w:pStyle w:val="NoSpacing"/>
        <w:jc w:val="both"/>
        <w:rPr>
          <w:rFonts w:ascii="Arial" w:hAnsi="Arial" w:cs="Arial"/>
        </w:rPr>
      </w:pPr>
      <w:r w:rsidRPr="00902155">
        <w:rPr>
          <w:rFonts w:ascii="Arial" w:hAnsi="Arial" w:cs="Arial"/>
        </w:rPr>
        <w:t>„(3) Obveznik će prilikom provođenja procjene rizika iz stava (1) ovog člana, klijenta svrstati  u jednu od sljedećih kategorija rizika:</w:t>
      </w:r>
    </w:p>
    <w:p w14:paraId="5F149480" w14:textId="01EC2B62" w:rsidR="006801BF" w:rsidRPr="00902155" w:rsidRDefault="006801BF" w:rsidP="00C052A9">
      <w:pPr>
        <w:pStyle w:val="NoSpacing"/>
        <w:numPr>
          <w:ilvl w:val="0"/>
          <w:numId w:val="27"/>
        </w:numPr>
        <w:ind w:left="426" w:hanging="284"/>
        <w:jc w:val="both"/>
        <w:rPr>
          <w:rFonts w:ascii="Arial" w:hAnsi="Arial" w:cs="Arial"/>
        </w:rPr>
      </w:pPr>
      <w:r w:rsidRPr="00902155">
        <w:rPr>
          <w:rFonts w:ascii="Arial" w:hAnsi="Arial" w:cs="Arial"/>
        </w:rPr>
        <w:t>kategoriju niskog rizika,</w:t>
      </w:r>
    </w:p>
    <w:p w14:paraId="3391E285" w14:textId="32B61B89" w:rsidR="006801BF" w:rsidRPr="00902155" w:rsidRDefault="006801BF" w:rsidP="00C052A9">
      <w:pPr>
        <w:pStyle w:val="NoSpacing"/>
        <w:numPr>
          <w:ilvl w:val="0"/>
          <w:numId w:val="27"/>
        </w:numPr>
        <w:ind w:left="426" w:hanging="284"/>
        <w:jc w:val="both"/>
        <w:rPr>
          <w:rFonts w:ascii="Arial" w:hAnsi="Arial" w:cs="Arial"/>
        </w:rPr>
      </w:pPr>
      <w:r w:rsidRPr="00902155">
        <w:rPr>
          <w:rFonts w:ascii="Arial" w:hAnsi="Arial" w:cs="Arial"/>
        </w:rPr>
        <w:t>kategoriju srednjeg rizika i</w:t>
      </w:r>
    </w:p>
    <w:p w14:paraId="7EABD0FE" w14:textId="0F4B340F" w:rsidR="006801BF" w:rsidRPr="00902155" w:rsidRDefault="006801BF" w:rsidP="00C052A9">
      <w:pPr>
        <w:pStyle w:val="NoSpacing"/>
        <w:numPr>
          <w:ilvl w:val="0"/>
          <w:numId w:val="27"/>
        </w:numPr>
        <w:ind w:left="426" w:hanging="284"/>
        <w:jc w:val="both"/>
        <w:rPr>
          <w:rFonts w:ascii="Arial" w:hAnsi="Arial" w:cs="Arial"/>
        </w:rPr>
      </w:pPr>
      <w:r w:rsidRPr="00902155">
        <w:rPr>
          <w:rFonts w:ascii="Arial" w:hAnsi="Arial" w:cs="Arial"/>
        </w:rPr>
        <w:t>kategoriju visokog rizika.</w:t>
      </w:r>
    </w:p>
    <w:p w14:paraId="207DA7D2" w14:textId="77777777" w:rsidR="006801BF" w:rsidRPr="00902155" w:rsidRDefault="006801BF" w:rsidP="006801BF">
      <w:pPr>
        <w:pStyle w:val="NoSpacing"/>
        <w:jc w:val="both"/>
        <w:rPr>
          <w:rFonts w:ascii="Arial" w:hAnsi="Arial" w:cs="Arial"/>
        </w:rPr>
      </w:pPr>
    </w:p>
    <w:p w14:paraId="5EDC33DD" w14:textId="2CEA59E5" w:rsidR="006801BF" w:rsidRPr="00902155" w:rsidRDefault="006801BF" w:rsidP="006801BF">
      <w:pPr>
        <w:pStyle w:val="NoSpacing"/>
        <w:jc w:val="both"/>
        <w:rPr>
          <w:rFonts w:ascii="Arial" w:hAnsi="Arial" w:cs="Arial"/>
        </w:rPr>
      </w:pPr>
      <w:r w:rsidRPr="00902155">
        <w:rPr>
          <w:rFonts w:ascii="Arial" w:hAnsi="Arial" w:cs="Arial"/>
        </w:rPr>
        <w:t>(4) Obveznik će prilikom provođenja  redovnih mjera identifikacije  i praćenja aktivnosti  klijenta, na osnovu procjene rizika iz stava (1) ovog člana, odrediti  da li će primjeniti pojačanu ili pojednostavljenu identifikaciju i praćenje aktivnosti klijenta, u skladu sa odredbama Poglavlja II Zakona o SPN/FTA.“</w:t>
      </w:r>
      <w:r w:rsidR="00B4427E">
        <w:rPr>
          <w:rFonts w:ascii="Arial" w:hAnsi="Arial" w:cs="Arial"/>
        </w:rPr>
        <w:t>.</w:t>
      </w:r>
    </w:p>
    <w:p w14:paraId="30ED0EAE" w14:textId="512FE00D" w:rsidR="006801BF" w:rsidRPr="00902155" w:rsidRDefault="006801BF" w:rsidP="006801BF">
      <w:pPr>
        <w:pStyle w:val="NoSpacing"/>
        <w:jc w:val="both"/>
        <w:rPr>
          <w:rFonts w:ascii="Arial" w:hAnsi="Arial" w:cs="Arial"/>
        </w:rPr>
      </w:pPr>
    </w:p>
    <w:p w14:paraId="5ADDC9AB" w14:textId="6C9ADF00" w:rsidR="006801BF" w:rsidRDefault="00902155" w:rsidP="00902155">
      <w:pPr>
        <w:pStyle w:val="NoSpacing"/>
        <w:jc w:val="center"/>
        <w:rPr>
          <w:rFonts w:ascii="Arial" w:hAnsi="Arial" w:cs="Arial"/>
        </w:rPr>
      </w:pPr>
      <w:r w:rsidRPr="00902155">
        <w:rPr>
          <w:rFonts w:ascii="Arial" w:hAnsi="Arial" w:cs="Arial"/>
        </w:rPr>
        <w:t>Član 1</w:t>
      </w:r>
      <w:r w:rsidR="00AF64BF">
        <w:rPr>
          <w:rFonts w:ascii="Arial" w:hAnsi="Arial" w:cs="Arial"/>
        </w:rPr>
        <w:t>5</w:t>
      </w:r>
      <w:r w:rsidRPr="00902155">
        <w:rPr>
          <w:rFonts w:ascii="Arial" w:hAnsi="Arial" w:cs="Arial"/>
        </w:rPr>
        <w:t xml:space="preserve">. </w:t>
      </w:r>
    </w:p>
    <w:p w14:paraId="7F292251" w14:textId="545E1AA8" w:rsidR="00902155" w:rsidRDefault="00902155" w:rsidP="00902155">
      <w:pPr>
        <w:pStyle w:val="NoSpacing"/>
        <w:jc w:val="both"/>
        <w:rPr>
          <w:rFonts w:ascii="Arial" w:hAnsi="Arial" w:cs="Arial"/>
        </w:rPr>
      </w:pPr>
      <w:r>
        <w:rPr>
          <w:rFonts w:ascii="Arial" w:hAnsi="Arial" w:cs="Arial"/>
        </w:rPr>
        <w:t>U članu 35. stav (6) iza riječi „Zakona“ dodaju se riječi</w:t>
      </w:r>
      <w:r w:rsidR="00B4427E">
        <w:rPr>
          <w:rFonts w:ascii="Arial" w:hAnsi="Arial" w:cs="Arial"/>
        </w:rPr>
        <w:t xml:space="preserve">: </w:t>
      </w:r>
      <w:r>
        <w:rPr>
          <w:rFonts w:ascii="Arial" w:hAnsi="Arial" w:cs="Arial"/>
        </w:rPr>
        <w:t xml:space="preserve">„o SPN/FTA“. </w:t>
      </w:r>
    </w:p>
    <w:p w14:paraId="7BA7F1D7" w14:textId="77777777" w:rsidR="00902155" w:rsidRDefault="00902155" w:rsidP="00902155">
      <w:pPr>
        <w:pStyle w:val="NoSpacing"/>
        <w:jc w:val="both"/>
        <w:rPr>
          <w:rFonts w:ascii="Arial" w:hAnsi="Arial" w:cs="Arial"/>
        </w:rPr>
      </w:pPr>
    </w:p>
    <w:p w14:paraId="2A79FFD9" w14:textId="595D3B65" w:rsidR="00700133" w:rsidRDefault="00700133" w:rsidP="00700133">
      <w:pPr>
        <w:pStyle w:val="NoSpacing"/>
        <w:jc w:val="center"/>
        <w:rPr>
          <w:rFonts w:ascii="Arial" w:hAnsi="Arial" w:cs="Arial"/>
        </w:rPr>
      </w:pPr>
      <w:r>
        <w:rPr>
          <w:rFonts w:ascii="Arial" w:hAnsi="Arial" w:cs="Arial"/>
        </w:rPr>
        <w:t>Član 1</w:t>
      </w:r>
      <w:r w:rsidR="00AF64BF">
        <w:rPr>
          <w:rFonts w:ascii="Arial" w:hAnsi="Arial" w:cs="Arial"/>
        </w:rPr>
        <w:t>6</w:t>
      </w:r>
      <w:r>
        <w:rPr>
          <w:rFonts w:ascii="Arial" w:hAnsi="Arial" w:cs="Arial"/>
        </w:rPr>
        <w:t xml:space="preserve">. </w:t>
      </w:r>
    </w:p>
    <w:p w14:paraId="3E436825" w14:textId="48EE19D6" w:rsidR="00700133" w:rsidRDefault="00700133" w:rsidP="00700133">
      <w:pPr>
        <w:pStyle w:val="NoSpacing"/>
        <w:jc w:val="both"/>
        <w:rPr>
          <w:rFonts w:ascii="Arial" w:eastAsia="Calibri" w:hAnsi="Arial" w:cs="Arial"/>
          <w:lang w:eastAsia="zh-CN"/>
        </w:rPr>
      </w:pPr>
      <w:r>
        <w:rPr>
          <w:rFonts w:ascii="Arial" w:hAnsi="Arial" w:cs="Arial"/>
        </w:rPr>
        <w:t>U članu 37. stav (4) iza riječi</w:t>
      </w:r>
      <w:r w:rsidR="00392B1A">
        <w:rPr>
          <w:rFonts w:ascii="Arial" w:hAnsi="Arial" w:cs="Arial"/>
        </w:rPr>
        <w:t>:</w:t>
      </w:r>
      <w:r>
        <w:rPr>
          <w:rFonts w:ascii="Arial" w:hAnsi="Arial" w:cs="Arial"/>
        </w:rPr>
        <w:t xml:space="preserve"> „visok rizik“ dodaju se riječi „</w:t>
      </w:r>
      <w:r>
        <w:rPr>
          <w:rFonts w:ascii="Arial" w:eastAsia="Calibri" w:hAnsi="Arial" w:cs="Arial"/>
          <w:lang w:eastAsia="zh-CN"/>
        </w:rPr>
        <w:t>uzimajući u obzir odredbe člana 13. stav (2) Pravilnika.“</w:t>
      </w:r>
    </w:p>
    <w:p w14:paraId="2FEA10FA" w14:textId="77777777" w:rsidR="00700133" w:rsidRDefault="00700133" w:rsidP="00700133">
      <w:pPr>
        <w:pStyle w:val="NoSpacing"/>
        <w:jc w:val="both"/>
        <w:rPr>
          <w:rFonts w:ascii="Arial" w:hAnsi="Arial" w:cs="Arial"/>
        </w:rPr>
      </w:pPr>
    </w:p>
    <w:p w14:paraId="330D0945" w14:textId="579D4408" w:rsidR="00700133" w:rsidRDefault="00700133" w:rsidP="00700133">
      <w:pPr>
        <w:pStyle w:val="NoSpacing"/>
        <w:jc w:val="both"/>
        <w:rPr>
          <w:rFonts w:ascii="Arial" w:hAnsi="Arial" w:cs="Arial"/>
        </w:rPr>
      </w:pPr>
      <w:r>
        <w:rPr>
          <w:rFonts w:ascii="Arial" w:hAnsi="Arial" w:cs="Arial"/>
        </w:rPr>
        <w:t>Iza stava (4) dodaje se novi stav (5), koji glasi:</w:t>
      </w:r>
    </w:p>
    <w:p w14:paraId="2804C230" w14:textId="71620E71" w:rsidR="00700133" w:rsidRDefault="00700133" w:rsidP="00700133">
      <w:pPr>
        <w:pStyle w:val="NoSpacing"/>
        <w:jc w:val="both"/>
        <w:rPr>
          <w:rFonts w:ascii="Arial" w:hAnsi="Arial" w:cs="Arial"/>
        </w:rPr>
      </w:pPr>
      <w:r>
        <w:rPr>
          <w:rFonts w:ascii="Arial" w:hAnsi="Arial" w:cs="Arial"/>
        </w:rPr>
        <w:t xml:space="preserve">„(5) </w:t>
      </w:r>
      <w:r w:rsidRPr="00700133">
        <w:rPr>
          <w:rFonts w:ascii="Arial" w:hAnsi="Arial" w:cs="Arial"/>
        </w:rPr>
        <w:t xml:space="preserve">Pored kategorija rizika iz stava (4) ovog člana obveznici su dužni, na osnovu dokumentovane procjene rizika, identifikovati klijente, poslovne odnose i povremene transakcije, koji su neprihvatljivi za obveznike kao što su: fizička i pravna lica koja su pod sankcijama Vijeća sigurnosti UN-a i/ili lica koja obavljaju određenu poslovnu djelatnost bez dozvole nadležnog organa  i koji žele uspostaviti poslovni odnos sa obveznikom, te druga lica po procjeni obveznika zbog </w:t>
      </w:r>
      <w:proofErr w:type="spellStart"/>
      <w:r w:rsidRPr="00700133">
        <w:rPr>
          <w:rFonts w:ascii="Arial" w:hAnsi="Arial" w:cs="Arial"/>
        </w:rPr>
        <w:t>nemogućnosti</w:t>
      </w:r>
      <w:proofErr w:type="spellEnd"/>
      <w:r w:rsidRPr="00700133">
        <w:rPr>
          <w:rFonts w:ascii="Arial" w:hAnsi="Arial" w:cs="Arial"/>
        </w:rPr>
        <w:t xml:space="preserve"> adekvatnog upravljanja rizikom.</w:t>
      </w:r>
      <w:r>
        <w:rPr>
          <w:rFonts w:ascii="Arial" w:hAnsi="Arial" w:cs="Arial"/>
        </w:rPr>
        <w:t>“</w:t>
      </w:r>
      <w:r w:rsidR="00392B1A">
        <w:rPr>
          <w:rFonts w:ascii="Arial" w:hAnsi="Arial" w:cs="Arial"/>
        </w:rPr>
        <w:t>.</w:t>
      </w:r>
    </w:p>
    <w:p w14:paraId="7FD59C8E" w14:textId="77777777" w:rsidR="00BB2069" w:rsidRDefault="00BB2069" w:rsidP="00700133">
      <w:pPr>
        <w:pStyle w:val="NoSpacing"/>
        <w:jc w:val="both"/>
        <w:rPr>
          <w:rFonts w:ascii="Arial" w:hAnsi="Arial" w:cs="Arial"/>
        </w:rPr>
      </w:pPr>
    </w:p>
    <w:p w14:paraId="02CD4C6A" w14:textId="22FF8958" w:rsidR="00BB2069" w:rsidRDefault="00BB2069" w:rsidP="00BB2069">
      <w:pPr>
        <w:pStyle w:val="NoSpacing"/>
        <w:jc w:val="center"/>
        <w:rPr>
          <w:rFonts w:ascii="Arial" w:hAnsi="Arial" w:cs="Arial"/>
        </w:rPr>
      </w:pPr>
      <w:r>
        <w:rPr>
          <w:rFonts w:ascii="Arial" w:hAnsi="Arial" w:cs="Arial"/>
        </w:rPr>
        <w:t>Član 1</w:t>
      </w:r>
      <w:r w:rsidR="00AF64BF">
        <w:rPr>
          <w:rFonts w:ascii="Arial" w:hAnsi="Arial" w:cs="Arial"/>
        </w:rPr>
        <w:t>7</w:t>
      </w:r>
      <w:r>
        <w:rPr>
          <w:rFonts w:ascii="Arial" w:hAnsi="Arial" w:cs="Arial"/>
        </w:rPr>
        <w:t>.</w:t>
      </w:r>
    </w:p>
    <w:p w14:paraId="262D98FD" w14:textId="62F5B024" w:rsidR="00BB2069" w:rsidRDefault="00BB2069" w:rsidP="00BB2069">
      <w:pPr>
        <w:pStyle w:val="NoSpacing"/>
        <w:jc w:val="both"/>
        <w:rPr>
          <w:rFonts w:ascii="Arial" w:hAnsi="Arial" w:cs="Arial"/>
        </w:rPr>
      </w:pPr>
      <w:r>
        <w:rPr>
          <w:rFonts w:ascii="Arial" w:hAnsi="Arial" w:cs="Arial"/>
        </w:rPr>
        <w:t xml:space="preserve">U članu 38. </w:t>
      </w:r>
      <w:r w:rsidR="00812B00">
        <w:rPr>
          <w:rFonts w:ascii="Arial" w:hAnsi="Arial" w:cs="Arial"/>
        </w:rPr>
        <w:t>dodaje se stav (2)</w:t>
      </w:r>
      <w:r>
        <w:rPr>
          <w:rFonts w:ascii="Arial" w:hAnsi="Arial" w:cs="Arial"/>
        </w:rPr>
        <w:t xml:space="preserve"> koj</w:t>
      </w:r>
      <w:r w:rsidR="00812B00">
        <w:rPr>
          <w:rFonts w:ascii="Arial" w:hAnsi="Arial" w:cs="Arial"/>
        </w:rPr>
        <w:t>i</w:t>
      </w:r>
      <w:r>
        <w:rPr>
          <w:rFonts w:ascii="Arial" w:hAnsi="Arial" w:cs="Arial"/>
        </w:rPr>
        <w:t xml:space="preserve"> </w:t>
      </w:r>
      <w:proofErr w:type="spellStart"/>
      <w:r>
        <w:rPr>
          <w:rFonts w:ascii="Arial" w:hAnsi="Arial" w:cs="Arial"/>
        </w:rPr>
        <w:t>glasi</w:t>
      </w:r>
      <w:proofErr w:type="spellEnd"/>
      <w:r>
        <w:rPr>
          <w:rFonts w:ascii="Arial" w:hAnsi="Arial" w:cs="Arial"/>
        </w:rPr>
        <w:t>:</w:t>
      </w:r>
    </w:p>
    <w:p w14:paraId="013C596C" w14:textId="50E76723" w:rsidR="00BB2069" w:rsidRPr="006801BF" w:rsidRDefault="00BB2069" w:rsidP="00BB2069">
      <w:pPr>
        <w:pStyle w:val="NoSpacing"/>
        <w:jc w:val="both"/>
        <w:rPr>
          <w:rFonts w:ascii="Arial" w:hAnsi="Arial" w:cs="Arial"/>
        </w:rPr>
      </w:pPr>
      <w:r>
        <w:rPr>
          <w:rFonts w:ascii="Arial" w:hAnsi="Arial" w:cs="Arial"/>
        </w:rPr>
        <w:t>„</w:t>
      </w:r>
      <w:r w:rsidRPr="00BB2069">
        <w:rPr>
          <w:rFonts w:ascii="Arial" w:hAnsi="Arial" w:cs="Arial"/>
        </w:rPr>
        <w:t xml:space="preserve">Pored faktora rizika </w:t>
      </w:r>
      <w:r w:rsidR="00812B00">
        <w:rPr>
          <w:rFonts w:ascii="Arial" w:hAnsi="Arial" w:cs="Arial"/>
        </w:rPr>
        <w:t xml:space="preserve"> iz stava (1) ovoga člana, </w:t>
      </w:r>
      <w:r w:rsidRPr="00BB2069">
        <w:rPr>
          <w:rFonts w:ascii="Arial" w:hAnsi="Arial" w:cs="Arial"/>
        </w:rPr>
        <w:t>obveznik je dužan uzeti u obzir i faktore koji utiču na procjenu rizika iz člana 6. Pravilnika.</w:t>
      </w:r>
      <w:r>
        <w:rPr>
          <w:rFonts w:ascii="Arial" w:hAnsi="Arial" w:cs="Arial"/>
        </w:rPr>
        <w:t>“</w:t>
      </w:r>
      <w:r w:rsidR="00812B00">
        <w:rPr>
          <w:rFonts w:ascii="Arial" w:hAnsi="Arial" w:cs="Arial"/>
        </w:rPr>
        <w:t>.</w:t>
      </w:r>
    </w:p>
    <w:p w14:paraId="7ED3F7FD" w14:textId="77777777" w:rsidR="006801BF" w:rsidRDefault="006801BF" w:rsidP="006801BF">
      <w:pPr>
        <w:pStyle w:val="NoSpacing"/>
        <w:jc w:val="both"/>
        <w:rPr>
          <w:rFonts w:ascii="Arial" w:hAnsi="Arial" w:cs="Arial"/>
        </w:rPr>
      </w:pPr>
    </w:p>
    <w:p w14:paraId="31CEB101" w14:textId="25DC4521" w:rsidR="00C325AF" w:rsidRDefault="00C325AF" w:rsidP="00C325AF">
      <w:pPr>
        <w:pStyle w:val="NoSpacing"/>
        <w:jc w:val="center"/>
        <w:rPr>
          <w:rFonts w:ascii="Arial" w:hAnsi="Arial" w:cs="Arial"/>
        </w:rPr>
      </w:pPr>
      <w:r>
        <w:rPr>
          <w:rFonts w:ascii="Arial" w:hAnsi="Arial" w:cs="Arial"/>
        </w:rPr>
        <w:t>Član 1</w:t>
      </w:r>
      <w:r w:rsidR="00AF64BF">
        <w:rPr>
          <w:rFonts w:ascii="Arial" w:hAnsi="Arial" w:cs="Arial"/>
        </w:rPr>
        <w:t>8</w:t>
      </w:r>
      <w:r>
        <w:rPr>
          <w:rFonts w:ascii="Arial" w:hAnsi="Arial" w:cs="Arial"/>
        </w:rPr>
        <w:t>.</w:t>
      </w:r>
    </w:p>
    <w:p w14:paraId="71520EAB" w14:textId="5C317F57" w:rsidR="00C325AF" w:rsidRDefault="00C325AF" w:rsidP="00C325AF">
      <w:pPr>
        <w:pStyle w:val="NoSpacing"/>
        <w:jc w:val="both"/>
        <w:rPr>
          <w:rFonts w:ascii="Arial" w:hAnsi="Arial" w:cs="Arial"/>
        </w:rPr>
      </w:pPr>
      <w:r>
        <w:rPr>
          <w:rFonts w:ascii="Arial" w:hAnsi="Arial" w:cs="Arial"/>
        </w:rPr>
        <w:t>Iza člana 38. dodaje se novi član 38a. koji glasi:</w:t>
      </w:r>
    </w:p>
    <w:p w14:paraId="3DA73004" w14:textId="77777777" w:rsidR="00C052A9" w:rsidRDefault="00C052A9" w:rsidP="00C325AF">
      <w:pPr>
        <w:pStyle w:val="NoSpacing"/>
        <w:jc w:val="both"/>
        <w:rPr>
          <w:rFonts w:ascii="Arial" w:hAnsi="Arial" w:cs="Arial"/>
        </w:rPr>
      </w:pPr>
    </w:p>
    <w:p w14:paraId="2F549190" w14:textId="71EF2550" w:rsidR="00C325AF" w:rsidRDefault="00C325AF" w:rsidP="00C325AF">
      <w:pPr>
        <w:pStyle w:val="NoSpacing"/>
        <w:jc w:val="center"/>
        <w:rPr>
          <w:rFonts w:ascii="Arial" w:hAnsi="Arial" w:cs="Arial"/>
        </w:rPr>
      </w:pPr>
      <w:r>
        <w:rPr>
          <w:rFonts w:ascii="Arial" w:hAnsi="Arial" w:cs="Arial"/>
        </w:rPr>
        <w:t>„</w:t>
      </w:r>
      <w:r w:rsidRPr="00C325AF">
        <w:rPr>
          <w:rFonts w:ascii="Arial" w:hAnsi="Arial" w:cs="Arial"/>
        </w:rPr>
        <w:t>Izrada ,objavljivanje i ažuriranje lista indikatora za prepoznavanje sumnjivih transakcija</w:t>
      </w:r>
    </w:p>
    <w:p w14:paraId="12DE9BA6" w14:textId="77777777" w:rsidR="00C052A9" w:rsidRPr="00C325AF" w:rsidRDefault="00C052A9" w:rsidP="00C325AF">
      <w:pPr>
        <w:pStyle w:val="NoSpacing"/>
        <w:jc w:val="center"/>
        <w:rPr>
          <w:rFonts w:ascii="Arial" w:hAnsi="Arial" w:cs="Arial"/>
        </w:rPr>
      </w:pPr>
    </w:p>
    <w:p w14:paraId="57089F1F" w14:textId="00CD39DD" w:rsidR="00C325AF" w:rsidRDefault="00C325AF" w:rsidP="00C325AF">
      <w:pPr>
        <w:pStyle w:val="NoSpacing"/>
        <w:jc w:val="center"/>
        <w:rPr>
          <w:rFonts w:ascii="Arial" w:hAnsi="Arial" w:cs="Arial"/>
        </w:rPr>
      </w:pPr>
      <w:r w:rsidRPr="00C325AF">
        <w:rPr>
          <w:rFonts w:ascii="Arial" w:hAnsi="Arial" w:cs="Arial"/>
        </w:rPr>
        <w:t>Član 38a.</w:t>
      </w:r>
    </w:p>
    <w:p w14:paraId="5A0DA200" w14:textId="77777777" w:rsidR="00C052A9" w:rsidRPr="00C325AF" w:rsidRDefault="00C052A9" w:rsidP="00C325AF">
      <w:pPr>
        <w:pStyle w:val="NoSpacing"/>
        <w:jc w:val="center"/>
        <w:rPr>
          <w:rFonts w:ascii="Arial" w:hAnsi="Arial" w:cs="Arial"/>
        </w:rPr>
      </w:pPr>
    </w:p>
    <w:p w14:paraId="0F99D9DC" w14:textId="7FF6952B" w:rsidR="00C325AF" w:rsidRPr="00C325AF" w:rsidRDefault="00C325AF" w:rsidP="00C325AF">
      <w:pPr>
        <w:pStyle w:val="NoSpacing"/>
        <w:numPr>
          <w:ilvl w:val="0"/>
          <w:numId w:val="11"/>
        </w:numPr>
        <w:ind w:left="426" w:hanging="426"/>
        <w:jc w:val="both"/>
        <w:rPr>
          <w:rFonts w:ascii="Arial" w:hAnsi="Arial" w:cs="Arial"/>
        </w:rPr>
      </w:pPr>
      <w:r w:rsidRPr="00C325AF">
        <w:rPr>
          <w:rFonts w:ascii="Arial" w:hAnsi="Arial" w:cs="Arial"/>
        </w:rPr>
        <w:lastRenderedPageBreak/>
        <w:t xml:space="preserve">Listu indikatora za prepoznavanje sumnjivih transakcija, odnosno sredstava i klijenata u vezi sa kojima postoje  razlozi za sumnju na pranje novca ili finansiranje terorističkih aktivnosti ili finansiranje širenja oružja za masovno uništenje  iz člana 57. stav (5) Zakona o SPN/FTA (u daljem tekstu: Lista indikatora) donosi i ažurira FOO u saradnji sa nadležnim organima iz člana 93. Zakona o SPN/FTA za svaku kategoriju obveznika posebno.  </w:t>
      </w:r>
    </w:p>
    <w:p w14:paraId="1C477742" w14:textId="141C7D1B" w:rsidR="00C325AF" w:rsidRPr="00C325AF" w:rsidRDefault="00C325AF" w:rsidP="00C325AF">
      <w:pPr>
        <w:pStyle w:val="NoSpacing"/>
        <w:numPr>
          <w:ilvl w:val="0"/>
          <w:numId w:val="11"/>
        </w:numPr>
        <w:ind w:left="426" w:hanging="426"/>
        <w:jc w:val="both"/>
        <w:rPr>
          <w:rFonts w:ascii="Arial" w:hAnsi="Arial" w:cs="Arial"/>
        </w:rPr>
      </w:pPr>
      <w:r w:rsidRPr="00C325AF">
        <w:rPr>
          <w:rFonts w:ascii="Arial" w:hAnsi="Arial" w:cs="Arial"/>
        </w:rPr>
        <w:t>Prilikom izrade i ažuriranja liste indikatora iz stava (1) ovog člana u obzir se uzimaju poznate poznate tehnike, metode, i trendovi pranja novca i finansiranja terorističkih aktivnosti  u Bosni i Hercegovini  i inostranstvu, te  relevantni dokumenti, publikacije  i obavještenja domaćih, regionalnih i međunarodnih organizacija, kao i saznanja do kojih dođu nadležni organi u BiH, kao i strukovna udruženja obveznika iz člana 2. ovih Smjernica.</w:t>
      </w:r>
    </w:p>
    <w:p w14:paraId="7CB6EA80" w14:textId="23F8219E" w:rsidR="00C325AF" w:rsidRPr="00C325AF" w:rsidRDefault="00C325AF" w:rsidP="00C325AF">
      <w:pPr>
        <w:pStyle w:val="NoSpacing"/>
        <w:numPr>
          <w:ilvl w:val="0"/>
          <w:numId w:val="11"/>
        </w:numPr>
        <w:ind w:left="426" w:hanging="426"/>
        <w:jc w:val="both"/>
        <w:rPr>
          <w:rFonts w:ascii="Arial" w:hAnsi="Arial" w:cs="Arial"/>
        </w:rPr>
      </w:pPr>
      <w:r w:rsidRPr="00C325AF">
        <w:rPr>
          <w:rFonts w:ascii="Arial" w:hAnsi="Arial" w:cs="Arial"/>
        </w:rPr>
        <w:t>Lista indikatora za prepoznavanje sumnjivih transakcija koji se odnose na sektor osiguranja se objavljuje na web stranici Agencije za nadzor. Lista indikatora se ažurira prema potrebi, a najmanje jednom u dvije godine. O izvršenom ažuriranju Liste indikatora Agencija za nadzor će obavjestiti obveznike iz člana 2. ovih Smjernica.</w:t>
      </w:r>
    </w:p>
    <w:p w14:paraId="282542B5" w14:textId="318F4CB7" w:rsidR="00C325AF" w:rsidRDefault="00C325AF" w:rsidP="00C325AF">
      <w:pPr>
        <w:pStyle w:val="NoSpacing"/>
        <w:numPr>
          <w:ilvl w:val="0"/>
          <w:numId w:val="11"/>
        </w:numPr>
        <w:ind w:left="426" w:hanging="426"/>
        <w:jc w:val="both"/>
        <w:rPr>
          <w:rFonts w:ascii="Arial" w:hAnsi="Arial" w:cs="Arial"/>
        </w:rPr>
      </w:pPr>
      <w:r w:rsidRPr="00C325AF">
        <w:rPr>
          <w:rFonts w:ascii="Arial" w:hAnsi="Arial" w:cs="Arial"/>
        </w:rPr>
        <w:t>U skladu sa članom 57. Zakona o SPN/FTA obveznici iz člana 2. ovih Smjernica su dužni sačiniti Listu indikatora na osnovu informacija koje su dostupne  o novim trendovima  i tipologijama pranja novca  i finansiranja terorizma, te u slučaju izmjenjenih okolnosti  u poslovanju obveznika sačiniti i dopunu liste indikatora. Listu indikatora i dopunu Liste indikatora obveznici su dužni dostaviti FOO-u i Agenciji za nadzor u roku od 30 dana od dana sačinjavanja.</w:t>
      </w:r>
      <w:r>
        <w:rPr>
          <w:rFonts w:ascii="Arial" w:hAnsi="Arial" w:cs="Arial"/>
        </w:rPr>
        <w:t>“</w:t>
      </w:r>
      <w:r w:rsidR="00913ABA">
        <w:rPr>
          <w:rFonts w:ascii="Arial" w:hAnsi="Arial" w:cs="Arial"/>
        </w:rPr>
        <w:t>.</w:t>
      </w:r>
    </w:p>
    <w:p w14:paraId="7AAC989E" w14:textId="77777777" w:rsidR="00C052A9" w:rsidRDefault="00C052A9" w:rsidP="00C052A9">
      <w:pPr>
        <w:pStyle w:val="NoSpacing"/>
        <w:ind w:left="426"/>
        <w:jc w:val="both"/>
        <w:rPr>
          <w:rFonts w:ascii="Arial" w:hAnsi="Arial" w:cs="Arial"/>
        </w:rPr>
      </w:pPr>
    </w:p>
    <w:p w14:paraId="678F2214" w14:textId="6707B570" w:rsidR="00C325AF" w:rsidRDefault="00C325AF" w:rsidP="00C325AF">
      <w:pPr>
        <w:pStyle w:val="NoSpacing"/>
        <w:jc w:val="center"/>
        <w:rPr>
          <w:rFonts w:ascii="Arial" w:hAnsi="Arial" w:cs="Arial"/>
        </w:rPr>
      </w:pPr>
      <w:r>
        <w:rPr>
          <w:rFonts w:ascii="Arial" w:hAnsi="Arial" w:cs="Arial"/>
        </w:rPr>
        <w:t>Član 1</w:t>
      </w:r>
      <w:r w:rsidR="00AF64BF">
        <w:rPr>
          <w:rFonts w:ascii="Arial" w:hAnsi="Arial" w:cs="Arial"/>
        </w:rPr>
        <w:t>9</w:t>
      </w:r>
      <w:r>
        <w:rPr>
          <w:rFonts w:ascii="Arial" w:hAnsi="Arial" w:cs="Arial"/>
        </w:rPr>
        <w:t>.</w:t>
      </w:r>
    </w:p>
    <w:p w14:paraId="1C74413C" w14:textId="0068DDAB" w:rsidR="00C325AF" w:rsidRDefault="00C325AF" w:rsidP="00C325AF">
      <w:pPr>
        <w:pStyle w:val="NoSpacing"/>
        <w:jc w:val="both"/>
        <w:rPr>
          <w:rFonts w:ascii="Arial" w:hAnsi="Arial" w:cs="Arial"/>
        </w:rPr>
      </w:pPr>
      <w:r>
        <w:rPr>
          <w:rFonts w:ascii="Arial" w:hAnsi="Arial" w:cs="Arial"/>
        </w:rPr>
        <w:t>Iza člana 40. dodaju se novi čl</w:t>
      </w:r>
      <w:r w:rsidR="001F70E3">
        <w:rPr>
          <w:rFonts w:ascii="Arial" w:hAnsi="Arial" w:cs="Arial"/>
        </w:rPr>
        <w:t>.</w:t>
      </w:r>
      <w:r>
        <w:rPr>
          <w:rFonts w:ascii="Arial" w:hAnsi="Arial" w:cs="Arial"/>
        </w:rPr>
        <w:t xml:space="preserve"> 40a. i 40b. koji glase:</w:t>
      </w:r>
    </w:p>
    <w:p w14:paraId="0D8FC5E7" w14:textId="77777777" w:rsidR="00C052A9" w:rsidRDefault="00C052A9" w:rsidP="00C325AF">
      <w:pPr>
        <w:pStyle w:val="NoSpacing"/>
        <w:jc w:val="both"/>
        <w:rPr>
          <w:rFonts w:ascii="Arial" w:hAnsi="Arial" w:cs="Arial"/>
        </w:rPr>
      </w:pPr>
    </w:p>
    <w:p w14:paraId="2423DF8F" w14:textId="77777777" w:rsidR="00C325AF" w:rsidRDefault="00C325AF" w:rsidP="00C325AF">
      <w:pPr>
        <w:pStyle w:val="NoSpacing"/>
        <w:jc w:val="center"/>
        <w:rPr>
          <w:rFonts w:ascii="Arial" w:hAnsi="Arial" w:cs="Arial"/>
        </w:rPr>
      </w:pPr>
      <w:r>
        <w:rPr>
          <w:rFonts w:ascii="Arial" w:hAnsi="Arial" w:cs="Arial"/>
        </w:rPr>
        <w:t>„</w:t>
      </w:r>
      <w:r w:rsidRPr="00C325AF">
        <w:rPr>
          <w:rFonts w:ascii="Arial" w:hAnsi="Arial" w:cs="Arial"/>
        </w:rPr>
        <w:t>Praćenje politički eksponiranih lica</w:t>
      </w:r>
    </w:p>
    <w:p w14:paraId="462F33AA" w14:textId="77777777" w:rsidR="00C052A9" w:rsidRPr="00C325AF" w:rsidRDefault="00C052A9" w:rsidP="00C325AF">
      <w:pPr>
        <w:pStyle w:val="NoSpacing"/>
        <w:jc w:val="center"/>
        <w:rPr>
          <w:rFonts w:ascii="Arial" w:hAnsi="Arial" w:cs="Arial"/>
        </w:rPr>
      </w:pPr>
    </w:p>
    <w:p w14:paraId="4774F5E5" w14:textId="0AB7B0F4" w:rsidR="00C325AF" w:rsidRDefault="00C325AF" w:rsidP="00C325AF">
      <w:pPr>
        <w:pStyle w:val="NoSpacing"/>
        <w:jc w:val="center"/>
        <w:rPr>
          <w:rFonts w:ascii="Arial" w:hAnsi="Arial" w:cs="Arial"/>
        </w:rPr>
      </w:pPr>
      <w:r w:rsidRPr="00C325AF">
        <w:rPr>
          <w:rFonts w:ascii="Arial" w:hAnsi="Arial" w:cs="Arial"/>
        </w:rPr>
        <w:t>Član 40a</w:t>
      </w:r>
      <w:r>
        <w:rPr>
          <w:rFonts w:ascii="Arial" w:hAnsi="Arial" w:cs="Arial"/>
        </w:rPr>
        <w:t>.</w:t>
      </w:r>
    </w:p>
    <w:p w14:paraId="2B59B743" w14:textId="77777777" w:rsidR="00C052A9" w:rsidRPr="00C325AF" w:rsidRDefault="00C052A9" w:rsidP="00C325AF">
      <w:pPr>
        <w:pStyle w:val="NoSpacing"/>
        <w:jc w:val="center"/>
        <w:rPr>
          <w:rFonts w:ascii="Arial" w:hAnsi="Arial" w:cs="Arial"/>
        </w:rPr>
      </w:pPr>
    </w:p>
    <w:p w14:paraId="6D0A29DB" w14:textId="77777777" w:rsidR="00C325AF" w:rsidRPr="00C325AF" w:rsidRDefault="00C325AF" w:rsidP="00C325AF">
      <w:pPr>
        <w:pStyle w:val="NoSpacing"/>
        <w:jc w:val="both"/>
        <w:rPr>
          <w:rFonts w:ascii="Arial" w:hAnsi="Arial" w:cs="Arial"/>
        </w:rPr>
      </w:pPr>
      <w:r w:rsidRPr="00C325AF">
        <w:rPr>
          <w:rFonts w:ascii="Arial" w:hAnsi="Arial" w:cs="Arial"/>
        </w:rPr>
        <w:t>Prilikom provedbe pojačanih mjera identifikacije i praćenja u vezi politički eksponiranih lica obveznici treba da uzmu u obzir dodatne faktore, odnosno treba da utvrde da li politički eksponirano lice:</w:t>
      </w:r>
    </w:p>
    <w:p w14:paraId="39F4A454" w14:textId="4F9B192B" w:rsidR="00C325AF" w:rsidRPr="00C325AF" w:rsidRDefault="00C325AF" w:rsidP="00C325AF">
      <w:pPr>
        <w:pStyle w:val="NoSpacing"/>
        <w:numPr>
          <w:ilvl w:val="0"/>
          <w:numId w:val="12"/>
        </w:numPr>
        <w:ind w:left="426" w:hanging="284"/>
        <w:jc w:val="both"/>
        <w:rPr>
          <w:rFonts w:ascii="Arial" w:hAnsi="Arial" w:cs="Arial"/>
        </w:rPr>
      </w:pPr>
      <w:r w:rsidRPr="00C325AF">
        <w:rPr>
          <w:rFonts w:ascii="Arial" w:hAnsi="Arial" w:cs="Arial"/>
        </w:rPr>
        <w:t xml:space="preserve">ima poslovne interese koji su u vezi sa njegovim javnim funkcijama tj. da li je u sukobu interesa; </w:t>
      </w:r>
    </w:p>
    <w:p w14:paraId="79510866" w14:textId="124976D8" w:rsidR="00C325AF" w:rsidRPr="00C325AF" w:rsidRDefault="00C325AF" w:rsidP="00C325AF">
      <w:pPr>
        <w:pStyle w:val="NoSpacing"/>
        <w:numPr>
          <w:ilvl w:val="0"/>
          <w:numId w:val="12"/>
        </w:numPr>
        <w:ind w:left="426" w:hanging="284"/>
        <w:jc w:val="both"/>
        <w:rPr>
          <w:rFonts w:ascii="Arial" w:hAnsi="Arial" w:cs="Arial"/>
        </w:rPr>
      </w:pPr>
      <w:r w:rsidRPr="00C325AF">
        <w:rPr>
          <w:rFonts w:ascii="Arial" w:hAnsi="Arial" w:cs="Arial"/>
        </w:rPr>
        <w:t xml:space="preserve">je uključeno u procese javnih nabavki; </w:t>
      </w:r>
    </w:p>
    <w:p w14:paraId="34BC21BF" w14:textId="2760F770" w:rsidR="00C325AF" w:rsidRPr="00C325AF" w:rsidRDefault="00C325AF" w:rsidP="00C325AF">
      <w:pPr>
        <w:pStyle w:val="NoSpacing"/>
        <w:numPr>
          <w:ilvl w:val="0"/>
          <w:numId w:val="12"/>
        </w:numPr>
        <w:ind w:left="426" w:hanging="284"/>
        <w:jc w:val="both"/>
        <w:rPr>
          <w:rFonts w:ascii="Arial" w:hAnsi="Arial" w:cs="Arial"/>
        </w:rPr>
      </w:pPr>
      <w:r w:rsidRPr="00C325AF">
        <w:rPr>
          <w:rFonts w:ascii="Arial" w:hAnsi="Arial" w:cs="Arial"/>
        </w:rPr>
        <w:t xml:space="preserve">ima nekoliko srodnih ili nepovezanih istaknutih javnih funkcija koje mogu omogućiti vršenje uticaja na nekoliko ključnih tačaka donošenja odluka u procesu odlučivanja, posebno u odjelima za potrošnju i nabavke; </w:t>
      </w:r>
    </w:p>
    <w:p w14:paraId="30677D6C" w14:textId="4E015BA7" w:rsidR="00C325AF" w:rsidRPr="00C325AF" w:rsidRDefault="00C325AF" w:rsidP="00C325AF">
      <w:pPr>
        <w:pStyle w:val="NoSpacing"/>
        <w:numPr>
          <w:ilvl w:val="0"/>
          <w:numId w:val="12"/>
        </w:numPr>
        <w:ind w:left="426" w:hanging="284"/>
        <w:jc w:val="both"/>
        <w:rPr>
          <w:rFonts w:ascii="Arial" w:hAnsi="Arial" w:cs="Arial"/>
        </w:rPr>
      </w:pPr>
      <w:r w:rsidRPr="00C325AF">
        <w:rPr>
          <w:rFonts w:ascii="Arial" w:hAnsi="Arial" w:cs="Arial"/>
        </w:rPr>
        <w:t xml:space="preserve">dolazi iz zemlje za koju je FATF ili drugo relevantno tijelo utvrdilo da ima strateške nedostatke režima pranja novca, finansiranja terorističkih aktivnosti ili je poznato da ima visok nivo korupcije, kao i iz zemlje navedene na listi zemalja sa strateškim nedostacima i zemlje u kojima postoji veća vjerovatnoća pojavljivanja pranja novca i finansiranja terorističkih aktivnosti iz člana 37. Pravilnika; </w:t>
      </w:r>
    </w:p>
    <w:p w14:paraId="0D435455" w14:textId="2525F8F3" w:rsidR="00C325AF" w:rsidRPr="00C325AF" w:rsidRDefault="00C325AF" w:rsidP="00C325AF">
      <w:pPr>
        <w:pStyle w:val="NoSpacing"/>
        <w:numPr>
          <w:ilvl w:val="0"/>
          <w:numId w:val="12"/>
        </w:numPr>
        <w:ind w:left="426" w:hanging="284"/>
        <w:jc w:val="both"/>
        <w:rPr>
          <w:rFonts w:ascii="Arial" w:hAnsi="Arial" w:cs="Arial"/>
        </w:rPr>
      </w:pPr>
      <w:r w:rsidRPr="00C325AF">
        <w:rPr>
          <w:rFonts w:ascii="Arial" w:hAnsi="Arial" w:cs="Arial"/>
        </w:rPr>
        <w:t xml:space="preserve">ima istaknutu javnu funkciju u sektorima za koje se zna da su izloženi povećanim nivoima korupcije, kao što su sektori nafte i plina, rudarstva, građevinarstva, prirodnih resursa, odbrambene industrije, sporta, igara na sreću i kockanja; </w:t>
      </w:r>
    </w:p>
    <w:p w14:paraId="25B937BC" w14:textId="4F108FCE" w:rsidR="00C325AF" w:rsidRDefault="00C325AF" w:rsidP="00C325AF">
      <w:pPr>
        <w:pStyle w:val="NoSpacing"/>
        <w:numPr>
          <w:ilvl w:val="0"/>
          <w:numId w:val="12"/>
        </w:numPr>
        <w:ind w:left="426" w:hanging="284"/>
        <w:jc w:val="both"/>
        <w:rPr>
          <w:rFonts w:ascii="Arial" w:hAnsi="Arial" w:cs="Arial"/>
        </w:rPr>
      </w:pPr>
      <w:r w:rsidRPr="00C325AF">
        <w:rPr>
          <w:rFonts w:ascii="Arial" w:hAnsi="Arial" w:cs="Arial"/>
        </w:rPr>
        <w:t>ima istaknutu javnu funkciju koja bi mu omogućila da negativno utiče na efektivnu implementaciju FATF preporuka u svojoj zemlji.</w:t>
      </w:r>
    </w:p>
    <w:p w14:paraId="006D6EB1" w14:textId="77777777" w:rsidR="009C197F" w:rsidRPr="00C052A9" w:rsidRDefault="009C197F" w:rsidP="009C197F">
      <w:pPr>
        <w:pStyle w:val="NoSpacing"/>
        <w:ind w:left="426"/>
        <w:jc w:val="both"/>
        <w:rPr>
          <w:rFonts w:ascii="Arial" w:hAnsi="Arial" w:cs="Arial"/>
        </w:rPr>
      </w:pPr>
    </w:p>
    <w:p w14:paraId="533B687C" w14:textId="77777777" w:rsidR="00C325AF" w:rsidRDefault="00C325AF" w:rsidP="00C325AF">
      <w:pPr>
        <w:pStyle w:val="NoSpacing"/>
        <w:jc w:val="center"/>
        <w:rPr>
          <w:rFonts w:ascii="Arial" w:hAnsi="Arial" w:cs="Arial"/>
        </w:rPr>
      </w:pPr>
      <w:r w:rsidRPr="00C325AF">
        <w:rPr>
          <w:rFonts w:ascii="Arial" w:hAnsi="Arial" w:cs="Arial"/>
        </w:rPr>
        <w:t xml:space="preserve">Lista funkcija i indikatora političke izloženosti </w:t>
      </w:r>
    </w:p>
    <w:p w14:paraId="77C3484F" w14:textId="77777777" w:rsidR="00C052A9" w:rsidRPr="00C325AF" w:rsidRDefault="00C052A9" w:rsidP="00C325AF">
      <w:pPr>
        <w:pStyle w:val="NoSpacing"/>
        <w:jc w:val="center"/>
        <w:rPr>
          <w:rFonts w:ascii="Arial" w:hAnsi="Arial" w:cs="Arial"/>
        </w:rPr>
      </w:pPr>
    </w:p>
    <w:p w14:paraId="29245190" w14:textId="77777777" w:rsidR="00C325AF" w:rsidRDefault="00C325AF" w:rsidP="00C325AF">
      <w:pPr>
        <w:pStyle w:val="NoSpacing"/>
        <w:jc w:val="center"/>
        <w:rPr>
          <w:rFonts w:ascii="Arial" w:hAnsi="Arial" w:cs="Arial"/>
        </w:rPr>
      </w:pPr>
      <w:r w:rsidRPr="00C325AF">
        <w:rPr>
          <w:rFonts w:ascii="Arial" w:hAnsi="Arial" w:cs="Arial"/>
        </w:rPr>
        <w:t>Član 40b.</w:t>
      </w:r>
    </w:p>
    <w:p w14:paraId="0BD71F50" w14:textId="77777777" w:rsidR="00C052A9" w:rsidRPr="00C325AF" w:rsidRDefault="00C052A9" w:rsidP="00C325AF">
      <w:pPr>
        <w:pStyle w:val="NoSpacing"/>
        <w:jc w:val="center"/>
        <w:rPr>
          <w:rFonts w:ascii="Arial" w:hAnsi="Arial" w:cs="Arial"/>
        </w:rPr>
      </w:pPr>
    </w:p>
    <w:p w14:paraId="70F56E1A" w14:textId="72B82E22" w:rsidR="00C325AF" w:rsidRPr="00CD6E54" w:rsidRDefault="00C325AF" w:rsidP="00CD6E54">
      <w:pPr>
        <w:pStyle w:val="NoSpacing"/>
        <w:numPr>
          <w:ilvl w:val="0"/>
          <w:numId w:val="14"/>
        </w:numPr>
        <w:ind w:left="426" w:hanging="426"/>
        <w:jc w:val="both"/>
        <w:rPr>
          <w:rFonts w:ascii="Arial" w:hAnsi="Arial" w:cs="Arial"/>
        </w:rPr>
      </w:pPr>
      <w:r w:rsidRPr="00C325AF">
        <w:rPr>
          <w:rFonts w:ascii="Arial" w:hAnsi="Arial" w:cs="Arial"/>
        </w:rPr>
        <w:t xml:space="preserve">Obveznici su dužni koristiti ažurnu listu funkcija i javnih pozicija koje su indikativne za </w:t>
      </w:r>
      <w:r w:rsidRPr="00CD6E54">
        <w:rPr>
          <w:rFonts w:ascii="Arial" w:hAnsi="Arial" w:cs="Arial"/>
        </w:rPr>
        <w:t>političku izloženost prilikom procjene da li je klijent politički eksponirano lice.</w:t>
      </w:r>
    </w:p>
    <w:p w14:paraId="19F6EDBE" w14:textId="0EA7DCCA" w:rsidR="00C325AF" w:rsidRPr="00C325AF" w:rsidRDefault="00C325AF" w:rsidP="00CD6E54">
      <w:pPr>
        <w:pStyle w:val="NoSpacing"/>
        <w:numPr>
          <w:ilvl w:val="0"/>
          <w:numId w:val="14"/>
        </w:numPr>
        <w:ind w:left="426" w:hanging="426"/>
        <w:jc w:val="both"/>
        <w:rPr>
          <w:rFonts w:ascii="Arial" w:hAnsi="Arial" w:cs="Arial"/>
        </w:rPr>
      </w:pPr>
      <w:r w:rsidRPr="00C325AF">
        <w:rPr>
          <w:rFonts w:ascii="Arial" w:hAnsi="Arial" w:cs="Arial"/>
        </w:rPr>
        <w:t xml:space="preserve">Lista funkcija obuhvata, između ostalog: </w:t>
      </w:r>
    </w:p>
    <w:p w14:paraId="310B5B9B" w14:textId="2953296D" w:rsidR="00C325AF" w:rsidRPr="00C325AF" w:rsidRDefault="00C325AF" w:rsidP="00CD6E54">
      <w:pPr>
        <w:pStyle w:val="NoSpacing"/>
        <w:numPr>
          <w:ilvl w:val="0"/>
          <w:numId w:val="15"/>
        </w:numPr>
        <w:ind w:left="709" w:hanging="284"/>
        <w:jc w:val="both"/>
        <w:rPr>
          <w:rFonts w:ascii="Arial" w:hAnsi="Arial" w:cs="Arial"/>
        </w:rPr>
      </w:pPr>
      <w:r w:rsidRPr="00C325AF">
        <w:rPr>
          <w:rFonts w:ascii="Arial" w:hAnsi="Arial" w:cs="Arial"/>
        </w:rPr>
        <w:t xml:space="preserve">izabrane i imenovane nosioce najviših izvršnih, zakonodavnih, sudskih i diplomatskih funkcija u Bosni i  Hercegovini i inostranstvu; </w:t>
      </w:r>
    </w:p>
    <w:p w14:paraId="1BC60B06" w14:textId="451AA427" w:rsidR="00C325AF" w:rsidRPr="00C325AF" w:rsidRDefault="00C325AF" w:rsidP="00CD6E54">
      <w:pPr>
        <w:pStyle w:val="NoSpacing"/>
        <w:numPr>
          <w:ilvl w:val="0"/>
          <w:numId w:val="15"/>
        </w:numPr>
        <w:ind w:left="709" w:hanging="284"/>
        <w:jc w:val="both"/>
        <w:rPr>
          <w:rFonts w:ascii="Arial" w:hAnsi="Arial" w:cs="Arial"/>
        </w:rPr>
      </w:pPr>
      <w:r w:rsidRPr="00C325AF">
        <w:rPr>
          <w:rFonts w:ascii="Arial" w:hAnsi="Arial" w:cs="Arial"/>
        </w:rPr>
        <w:t>članove upravnih i nadzornih odbora i direktore preduzeća u većinskom vlasništvu Bosne i Hercegovine, entiteta, distrikta i općina;</w:t>
      </w:r>
    </w:p>
    <w:p w14:paraId="17A1A41F" w14:textId="2A184616" w:rsidR="00C325AF" w:rsidRPr="00C325AF" w:rsidRDefault="00C325AF" w:rsidP="00CD6E54">
      <w:pPr>
        <w:pStyle w:val="NoSpacing"/>
        <w:numPr>
          <w:ilvl w:val="0"/>
          <w:numId w:val="15"/>
        </w:numPr>
        <w:ind w:left="709" w:hanging="284"/>
        <w:jc w:val="both"/>
        <w:rPr>
          <w:rFonts w:ascii="Arial" w:hAnsi="Arial" w:cs="Arial"/>
        </w:rPr>
      </w:pPr>
      <w:r w:rsidRPr="00C325AF">
        <w:rPr>
          <w:rFonts w:ascii="Arial" w:hAnsi="Arial" w:cs="Arial"/>
        </w:rPr>
        <w:t>članove rukovodstava političkih stranaka;</w:t>
      </w:r>
    </w:p>
    <w:p w14:paraId="2F2202EB" w14:textId="00458347" w:rsidR="00C325AF" w:rsidRPr="00C325AF" w:rsidRDefault="00C325AF" w:rsidP="00CD6E54">
      <w:pPr>
        <w:pStyle w:val="NoSpacing"/>
        <w:numPr>
          <w:ilvl w:val="0"/>
          <w:numId w:val="15"/>
        </w:numPr>
        <w:ind w:left="709" w:hanging="284"/>
        <w:jc w:val="both"/>
        <w:rPr>
          <w:rFonts w:ascii="Arial" w:hAnsi="Arial" w:cs="Arial"/>
        </w:rPr>
      </w:pPr>
      <w:r w:rsidRPr="00C325AF">
        <w:rPr>
          <w:rFonts w:ascii="Arial" w:hAnsi="Arial" w:cs="Arial"/>
        </w:rPr>
        <w:t xml:space="preserve">najviše vojne i bezbjednosne zvaničnike; </w:t>
      </w:r>
    </w:p>
    <w:p w14:paraId="46D6BA0D" w14:textId="05C9E0A3" w:rsidR="00C325AF" w:rsidRPr="00C325AF" w:rsidRDefault="00C325AF" w:rsidP="00CD6E54">
      <w:pPr>
        <w:pStyle w:val="NoSpacing"/>
        <w:numPr>
          <w:ilvl w:val="0"/>
          <w:numId w:val="15"/>
        </w:numPr>
        <w:ind w:left="709" w:hanging="284"/>
        <w:jc w:val="both"/>
        <w:rPr>
          <w:rFonts w:ascii="Arial" w:hAnsi="Arial" w:cs="Arial"/>
        </w:rPr>
      </w:pPr>
      <w:r w:rsidRPr="00C325AF">
        <w:rPr>
          <w:rFonts w:ascii="Arial" w:hAnsi="Arial" w:cs="Arial"/>
        </w:rPr>
        <w:t>članove porodice i bliske saradnike lica navedenih u ovom stavu.</w:t>
      </w:r>
    </w:p>
    <w:p w14:paraId="0ECE3F50" w14:textId="366CC383" w:rsidR="00C325AF" w:rsidRPr="00CD6E54" w:rsidRDefault="00C325AF" w:rsidP="00C325AF">
      <w:pPr>
        <w:pStyle w:val="NoSpacing"/>
        <w:numPr>
          <w:ilvl w:val="0"/>
          <w:numId w:val="14"/>
        </w:numPr>
        <w:ind w:left="426" w:hanging="426"/>
        <w:jc w:val="both"/>
        <w:rPr>
          <w:rFonts w:ascii="Arial" w:hAnsi="Arial" w:cs="Arial"/>
        </w:rPr>
      </w:pPr>
      <w:r w:rsidRPr="00C325AF">
        <w:rPr>
          <w:rFonts w:ascii="Arial" w:hAnsi="Arial" w:cs="Arial"/>
        </w:rPr>
        <w:t xml:space="preserve">Bliskim saradnicima politički eksponiranog lica iz stava (2) ovog člana smatraju se </w:t>
      </w:r>
      <w:r w:rsidRPr="00CD6E54">
        <w:rPr>
          <w:rFonts w:ascii="Arial" w:hAnsi="Arial" w:cs="Arial"/>
        </w:rPr>
        <w:t xml:space="preserve">fizička lica za koja je poznato da: </w:t>
      </w:r>
    </w:p>
    <w:p w14:paraId="195FA539" w14:textId="520CA271" w:rsidR="00C325AF" w:rsidRPr="00C325AF" w:rsidRDefault="00C325AF" w:rsidP="00CD6E54">
      <w:pPr>
        <w:pStyle w:val="NoSpacing"/>
        <w:numPr>
          <w:ilvl w:val="1"/>
          <w:numId w:val="18"/>
        </w:numPr>
        <w:ind w:hanging="294"/>
        <w:jc w:val="both"/>
        <w:rPr>
          <w:rFonts w:ascii="Arial" w:hAnsi="Arial" w:cs="Arial"/>
        </w:rPr>
      </w:pPr>
      <w:r w:rsidRPr="00C325AF">
        <w:rPr>
          <w:rFonts w:ascii="Arial" w:hAnsi="Arial" w:cs="Arial"/>
        </w:rPr>
        <w:t>imaju ili su imala blisku poslovnu vezu s politički ek</w:t>
      </w:r>
      <w:r w:rsidR="001F70E3">
        <w:rPr>
          <w:rFonts w:ascii="Arial" w:hAnsi="Arial" w:cs="Arial"/>
        </w:rPr>
        <w:t>s</w:t>
      </w:r>
      <w:r w:rsidRPr="00C325AF">
        <w:rPr>
          <w:rFonts w:ascii="Arial" w:hAnsi="Arial" w:cs="Arial"/>
        </w:rPr>
        <w:t xml:space="preserve">poniranim licem, uključujući: </w:t>
      </w:r>
    </w:p>
    <w:p w14:paraId="0552484A" w14:textId="4632CF26" w:rsidR="00C325AF" w:rsidRPr="00C325AF" w:rsidRDefault="00C325AF" w:rsidP="00CD6E54">
      <w:pPr>
        <w:pStyle w:val="NoSpacing"/>
        <w:numPr>
          <w:ilvl w:val="2"/>
          <w:numId w:val="22"/>
        </w:numPr>
        <w:ind w:left="993" w:hanging="284"/>
        <w:jc w:val="both"/>
        <w:rPr>
          <w:rFonts w:ascii="Arial" w:hAnsi="Arial" w:cs="Arial"/>
        </w:rPr>
      </w:pPr>
      <w:r w:rsidRPr="00C325AF">
        <w:rPr>
          <w:rFonts w:ascii="Arial" w:hAnsi="Arial" w:cs="Arial"/>
        </w:rPr>
        <w:t xml:space="preserve">zajedničko vlasništvo nad pravnim licem ili pravnim aranžmanom; </w:t>
      </w:r>
    </w:p>
    <w:p w14:paraId="40ABE46C" w14:textId="2641ACE3" w:rsidR="00C325AF" w:rsidRPr="00C325AF" w:rsidRDefault="00C325AF" w:rsidP="00CD6E54">
      <w:pPr>
        <w:pStyle w:val="NoSpacing"/>
        <w:numPr>
          <w:ilvl w:val="2"/>
          <w:numId w:val="22"/>
        </w:numPr>
        <w:ind w:left="993" w:hanging="284"/>
        <w:jc w:val="both"/>
        <w:rPr>
          <w:rFonts w:ascii="Arial" w:hAnsi="Arial" w:cs="Arial"/>
        </w:rPr>
      </w:pPr>
      <w:r w:rsidRPr="00C325AF">
        <w:rPr>
          <w:rFonts w:ascii="Arial" w:hAnsi="Arial" w:cs="Arial"/>
        </w:rPr>
        <w:t xml:space="preserve">zajedničko upravljanje poslovnim projektima ili ulaganjima; </w:t>
      </w:r>
    </w:p>
    <w:p w14:paraId="1D66DD27" w14:textId="40925044" w:rsidR="00C325AF" w:rsidRPr="00C325AF" w:rsidRDefault="00C325AF" w:rsidP="00CD6E54">
      <w:pPr>
        <w:pStyle w:val="NoSpacing"/>
        <w:numPr>
          <w:ilvl w:val="2"/>
          <w:numId w:val="22"/>
        </w:numPr>
        <w:ind w:left="993" w:hanging="284"/>
        <w:jc w:val="both"/>
        <w:rPr>
          <w:rFonts w:ascii="Arial" w:hAnsi="Arial" w:cs="Arial"/>
        </w:rPr>
      </w:pPr>
      <w:r w:rsidRPr="00C325AF">
        <w:rPr>
          <w:rFonts w:ascii="Arial" w:hAnsi="Arial" w:cs="Arial"/>
        </w:rPr>
        <w:t xml:space="preserve">formalnu ili neformalnu poslovnu saradnju značajnog obima; </w:t>
      </w:r>
    </w:p>
    <w:p w14:paraId="0E3ED373" w14:textId="72A52062" w:rsidR="00C325AF" w:rsidRPr="00C325AF" w:rsidRDefault="00C325AF" w:rsidP="00CD6E54">
      <w:pPr>
        <w:pStyle w:val="NoSpacing"/>
        <w:numPr>
          <w:ilvl w:val="1"/>
          <w:numId w:val="18"/>
        </w:numPr>
        <w:tabs>
          <w:tab w:val="left" w:pos="709"/>
        </w:tabs>
        <w:ind w:hanging="294"/>
        <w:jc w:val="both"/>
        <w:rPr>
          <w:rFonts w:ascii="Arial" w:hAnsi="Arial" w:cs="Arial"/>
        </w:rPr>
      </w:pPr>
      <w:r w:rsidRPr="00C325AF">
        <w:rPr>
          <w:rFonts w:ascii="Arial" w:hAnsi="Arial" w:cs="Arial"/>
        </w:rPr>
        <w:t xml:space="preserve">imaju koristi od istih pravnih aranžmana kao politički eksponirano lice, uključujući                                           zajedničko korisništvo trusta, fonda, računa, kompanije ili drugog pravnog subjekta; </w:t>
      </w:r>
    </w:p>
    <w:p w14:paraId="1B4291AF" w14:textId="22D90FDF" w:rsidR="00C325AF" w:rsidRPr="00C325AF" w:rsidRDefault="00C325AF" w:rsidP="00CD6E54">
      <w:pPr>
        <w:pStyle w:val="NoSpacing"/>
        <w:numPr>
          <w:ilvl w:val="1"/>
          <w:numId w:val="18"/>
        </w:numPr>
        <w:tabs>
          <w:tab w:val="left" w:pos="709"/>
        </w:tabs>
        <w:ind w:hanging="294"/>
        <w:jc w:val="both"/>
        <w:rPr>
          <w:rFonts w:ascii="Arial" w:hAnsi="Arial" w:cs="Arial"/>
        </w:rPr>
      </w:pPr>
      <w:r w:rsidRPr="00C325AF">
        <w:rPr>
          <w:rFonts w:ascii="Arial" w:hAnsi="Arial" w:cs="Arial"/>
        </w:rPr>
        <w:t xml:space="preserve">imaju poznatu ličnu povezanost s politički eksponiranim licem, uključujući: </w:t>
      </w:r>
    </w:p>
    <w:p w14:paraId="63DBB52C" w14:textId="5A4E5536" w:rsidR="00C325AF" w:rsidRPr="00C325AF" w:rsidRDefault="00C325AF" w:rsidP="00CD6E54">
      <w:pPr>
        <w:pStyle w:val="NoSpacing"/>
        <w:numPr>
          <w:ilvl w:val="2"/>
          <w:numId w:val="20"/>
        </w:numPr>
        <w:tabs>
          <w:tab w:val="left" w:pos="709"/>
        </w:tabs>
        <w:ind w:left="993" w:hanging="294"/>
        <w:jc w:val="both"/>
        <w:rPr>
          <w:rFonts w:ascii="Arial" w:hAnsi="Arial" w:cs="Arial"/>
        </w:rPr>
      </w:pPr>
      <w:r w:rsidRPr="00C325AF">
        <w:rPr>
          <w:rFonts w:ascii="Arial" w:hAnsi="Arial" w:cs="Arial"/>
        </w:rPr>
        <w:t xml:space="preserve">lica koja često putuju, borave ili javno nastupaju s politički eksponiranim licem; </w:t>
      </w:r>
    </w:p>
    <w:p w14:paraId="7EC24793" w14:textId="38C5369D" w:rsidR="00C325AF" w:rsidRPr="00C325AF" w:rsidRDefault="00C325AF" w:rsidP="00CD6E54">
      <w:pPr>
        <w:pStyle w:val="NoSpacing"/>
        <w:numPr>
          <w:ilvl w:val="2"/>
          <w:numId w:val="20"/>
        </w:numPr>
        <w:tabs>
          <w:tab w:val="left" w:pos="709"/>
        </w:tabs>
        <w:ind w:left="993" w:hanging="294"/>
        <w:jc w:val="both"/>
        <w:rPr>
          <w:rFonts w:ascii="Arial" w:hAnsi="Arial" w:cs="Arial"/>
        </w:rPr>
      </w:pPr>
      <w:r w:rsidRPr="00C325AF">
        <w:rPr>
          <w:rFonts w:ascii="Arial" w:hAnsi="Arial" w:cs="Arial"/>
        </w:rPr>
        <w:t xml:space="preserve">lica koja obavljaju funkcije ličnog savjetnika, asistenta, upravitelja imovine ili                                  drugog ličnog povjerenika. </w:t>
      </w:r>
    </w:p>
    <w:p w14:paraId="7E40D67F" w14:textId="0D767925" w:rsidR="00C325AF" w:rsidRPr="00C325AF" w:rsidRDefault="00C325AF" w:rsidP="00CD6E54">
      <w:pPr>
        <w:pStyle w:val="NoSpacing"/>
        <w:numPr>
          <w:ilvl w:val="0"/>
          <w:numId w:val="14"/>
        </w:numPr>
        <w:ind w:left="426" w:hanging="426"/>
        <w:jc w:val="both"/>
        <w:rPr>
          <w:rFonts w:ascii="Arial" w:hAnsi="Arial" w:cs="Arial"/>
        </w:rPr>
      </w:pPr>
      <w:r w:rsidRPr="00C325AF">
        <w:rPr>
          <w:rFonts w:ascii="Arial" w:hAnsi="Arial" w:cs="Arial"/>
        </w:rPr>
        <w:t xml:space="preserve">Obveznici su dužni formirati, te redovno ažurirati interne liste i koristiti dostupne izvore kako bi osigurali pravovremeno prepoznavanje političkog statusa svojih klijenata. </w:t>
      </w:r>
    </w:p>
    <w:p w14:paraId="1871CF55" w14:textId="0C4C9977" w:rsidR="00C325AF" w:rsidRPr="00C325AF" w:rsidRDefault="00C325AF" w:rsidP="00CD6E54">
      <w:pPr>
        <w:pStyle w:val="NoSpacing"/>
        <w:numPr>
          <w:ilvl w:val="0"/>
          <w:numId w:val="14"/>
        </w:numPr>
        <w:ind w:left="426" w:hanging="426"/>
        <w:jc w:val="both"/>
        <w:rPr>
          <w:rFonts w:ascii="Arial" w:hAnsi="Arial" w:cs="Arial"/>
        </w:rPr>
      </w:pPr>
      <w:r w:rsidRPr="00C325AF">
        <w:rPr>
          <w:rFonts w:ascii="Arial" w:hAnsi="Arial" w:cs="Arial"/>
        </w:rPr>
        <w:t xml:space="preserve">U svrhu provođenja mjera pojačane identifikacije i praćenja prema politički eksponiranim licima, članovima porodice politički eksponiranih lica smatraju se: </w:t>
      </w:r>
    </w:p>
    <w:p w14:paraId="612BB9D5" w14:textId="2EA3511C" w:rsidR="00C325AF" w:rsidRPr="00C325AF" w:rsidRDefault="00C325AF" w:rsidP="00CD6E54">
      <w:pPr>
        <w:pStyle w:val="NoSpacing"/>
        <w:numPr>
          <w:ilvl w:val="1"/>
          <w:numId w:val="25"/>
        </w:numPr>
        <w:ind w:left="709" w:hanging="283"/>
        <w:jc w:val="both"/>
        <w:rPr>
          <w:rFonts w:ascii="Arial" w:hAnsi="Arial" w:cs="Arial"/>
        </w:rPr>
      </w:pPr>
      <w:r w:rsidRPr="00C325AF">
        <w:rPr>
          <w:rFonts w:ascii="Arial" w:hAnsi="Arial" w:cs="Arial"/>
        </w:rPr>
        <w:t xml:space="preserve">roditelji i djeca politički eksponiranog lica; </w:t>
      </w:r>
    </w:p>
    <w:p w14:paraId="658504EE" w14:textId="4A6B6DB2" w:rsidR="00C325AF" w:rsidRPr="00C325AF" w:rsidRDefault="00C325AF" w:rsidP="00CD6E54">
      <w:pPr>
        <w:pStyle w:val="NoSpacing"/>
        <w:numPr>
          <w:ilvl w:val="1"/>
          <w:numId w:val="25"/>
        </w:numPr>
        <w:ind w:left="709" w:hanging="283"/>
        <w:jc w:val="both"/>
        <w:rPr>
          <w:rFonts w:ascii="Arial" w:hAnsi="Arial" w:cs="Arial"/>
        </w:rPr>
      </w:pPr>
      <w:r w:rsidRPr="00C325AF">
        <w:rPr>
          <w:rFonts w:ascii="Arial" w:hAnsi="Arial" w:cs="Arial"/>
        </w:rPr>
        <w:t xml:space="preserve">bračni i vanbračni partner; </w:t>
      </w:r>
    </w:p>
    <w:p w14:paraId="3B1B1586" w14:textId="165C2D4B" w:rsidR="00C325AF" w:rsidRPr="00C325AF" w:rsidRDefault="00C325AF" w:rsidP="00CD6E54">
      <w:pPr>
        <w:pStyle w:val="NoSpacing"/>
        <w:numPr>
          <w:ilvl w:val="1"/>
          <w:numId w:val="25"/>
        </w:numPr>
        <w:ind w:left="709" w:hanging="283"/>
        <w:jc w:val="both"/>
        <w:rPr>
          <w:rFonts w:ascii="Arial" w:hAnsi="Arial" w:cs="Arial"/>
        </w:rPr>
      </w:pPr>
      <w:r w:rsidRPr="00C325AF">
        <w:rPr>
          <w:rFonts w:ascii="Arial" w:hAnsi="Arial" w:cs="Arial"/>
        </w:rPr>
        <w:t xml:space="preserve">braća i sestre; </w:t>
      </w:r>
    </w:p>
    <w:p w14:paraId="19158136" w14:textId="694251BD" w:rsidR="00C325AF" w:rsidRPr="00C325AF" w:rsidRDefault="00C325AF" w:rsidP="00CD6E54">
      <w:pPr>
        <w:pStyle w:val="NoSpacing"/>
        <w:numPr>
          <w:ilvl w:val="1"/>
          <w:numId w:val="25"/>
        </w:numPr>
        <w:ind w:left="709" w:hanging="283"/>
        <w:jc w:val="both"/>
        <w:rPr>
          <w:rFonts w:ascii="Arial" w:hAnsi="Arial" w:cs="Arial"/>
        </w:rPr>
      </w:pPr>
      <w:r w:rsidRPr="00C325AF">
        <w:rPr>
          <w:rFonts w:ascii="Arial" w:hAnsi="Arial" w:cs="Arial"/>
        </w:rPr>
        <w:t xml:space="preserve">djedovi, nane/nene, bake i unuci; </w:t>
      </w:r>
    </w:p>
    <w:p w14:paraId="690AABB0" w14:textId="3046A20B" w:rsidR="00C325AF" w:rsidRPr="00C325AF" w:rsidRDefault="00C325AF" w:rsidP="00CD6E54">
      <w:pPr>
        <w:pStyle w:val="NoSpacing"/>
        <w:numPr>
          <w:ilvl w:val="1"/>
          <w:numId w:val="25"/>
        </w:numPr>
        <w:ind w:left="709" w:hanging="283"/>
        <w:jc w:val="both"/>
        <w:rPr>
          <w:rFonts w:ascii="Arial" w:hAnsi="Arial" w:cs="Arial"/>
        </w:rPr>
      </w:pPr>
      <w:r w:rsidRPr="00C325AF">
        <w:rPr>
          <w:rFonts w:ascii="Arial" w:hAnsi="Arial" w:cs="Arial"/>
        </w:rPr>
        <w:t xml:space="preserve">punac, punica, zet i snaha; </w:t>
      </w:r>
    </w:p>
    <w:p w14:paraId="59696C2F" w14:textId="20C3466E" w:rsidR="00C325AF" w:rsidRPr="00C325AF" w:rsidRDefault="00C325AF" w:rsidP="00CD6E54">
      <w:pPr>
        <w:pStyle w:val="NoSpacing"/>
        <w:numPr>
          <w:ilvl w:val="1"/>
          <w:numId w:val="25"/>
        </w:numPr>
        <w:ind w:left="709" w:hanging="283"/>
        <w:jc w:val="both"/>
        <w:rPr>
          <w:rFonts w:ascii="Arial" w:hAnsi="Arial" w:cs="Arial"/>
        </w:rPr>
      </w:pPr>
      <w:r w:rsidRPr="00C325AF">
        <w:rPr>
          <w:rFonts w:ascii="Arial" w:hAnsi="Arial" w:cs="Arial"/>
        </w:rPr>
        <w:t xml:space="preserve">usvojioci i usvojenici; </w:t>
      </w:r>
    </w:p>
    <w:p w14:paraId="6F558D67" w14:textId="013C273D" w:rsidR="00C325AF" w:rsidRDefault="00C325AF" w:rsidP="00CD6E54">
      <w:pPr>
        <w:pStyle w:val="NoSpacing"/>
        <w:numPr>
          <w:ilvl w:val="1"/>
          <w:numId w:val="25"/>
        </w:numPr>
        <w:ind w:left="709" w:hanging="283"/>
        <w:jc w:val="both"/>
        <w:rPr>
          <w:rFonts w:ascii="Arial" w:hAnsi="Arial" w:cs="Arial"/>
        </w:rPr>
      </w:pPr>
      <w:r w:rsidRPr="00C325AF">
        <w:rPr>
          <w:rFonts w:ascii="Arial" w:hAnsi="Arial" w:cs="Arial"/>
        </w:rPr>
        <w:t>druga lica s kojima politički eksponirano lice živi u zajedničkom domaćinstvu, a s kojima je povezano krvnim srodstvom ili srodstvom po tazbini.</w:t>
      </w:r>
      <w:r w:rsidR="001F70E3">
        <w:rPr>
          <w:rFonts w:ascii="Arial" w:hAnsi="Arial" w:cs="Arial"/>
        </w:rPr>
        <w:t>“</w:t>
      </w:r>
      <w:r w:rsidR="009C197F">
        <w:rPr>
          <w:rFonts w:ascii="Arial" w:hAnsi="Arial" w:cs="Arial"/>
        </w:rPr>
        <w:t>.</w:t>
      </w:r>
    </w:p>
    <w:p w14:paraId="64DB42E3" w14:textId="77777777" w:rsidR="00903198" w:rsidRDefault="00903198" w:rsidP="00903198">
      <w:pPr>
        <w:pStyle w:val="NoSpacing"/>
        <w:jc w:val="both"/>
        <w:rPr>
          <w:rFonts w:ascii="Arial" w:hAnsi="Arial" w:cs="Arial"/>
        </w:rPr>
      </w:pPr>
    </w:p>
    <w:p w14:paraId="1CA03F5F" w14:textId="5E442FFC" w:rsidR="00903198" w:rsidRPr="00B733E9" w:rsidRDefault="00903198" w:rsidP="00903198">
      <w:pPr>
        <w:pStyle w:val="NoSpacing"/>
        <w:jc w:val="center"/>
        <w:rPr>
          <w:rFonts w:ascii="Arial" w:hAnsi="Arial" w:cs="Arial"/>
        </w:rPr>
      </w:pPr>
      <w:r w:rsidRPr="00B733E9">
        <w:rPr>
          <w:rFonts w:ascii="Arial" w:hAnsi="Arial" w:cs="Arial"/>
        </w:rPr>
        <w:t xml:space="preserve">Član </w:t>
      </w:r>
      <w:r w:rsidR="00AF64BF">
        <w:rPr>
          <w:rFonts w:ascii="Arial" w:hAnsi="Arial" w:cs="Arial"/>
        </w:rPr>
        <w:t>20</w:t>
      </w:r>
      <w:r w:rsidRPr="00B733E9">
        <w:rPr>
          <w:rFonts w:ascii="Arial" w:hAnsi="Arial" w:cs="Arial"/>
        </w:rPr>
        <w:t>.</w:t>
      </w:r>
    </w:p>
    <w:p w14:paraId="20AF8E1F" w14:textId="05D3E8CF" w:rsidR="00903198" w:rsidRPr="00B733E9" w:rsidRDefault="00903198" w:rsidP="00903198">
      <w:pPr>
        <w:pStyle w:val="NoSpacing"/>
        <w:jc w:val="both"/>
        <w:rPr>
          <w:rFonts w:ascii="Arial" w:hAnsi="Arial" w:cs="Arial"/>
        </w:rPr>
      </w:pPr>
      <w:r w:rsidRPr="00B733E9">
        <w:rPr>
          <w:rFonts w:ascii="Arial" w:hAnsi="Arial" w:cs="Arial"/>
        </w:rPr>
        <w:t xml:space="preserve">U članu 42. </w:t>
      </w:r>
      <w:r w:rsidR="00513C8E" w:rsidRPr="00B733E9">
        <w:rPr>
          <w:rFonts w:ascii="Arial" w:hAnsi="Arial" w:cs="Arial"/>
        </w:rPr>
        <w:t xml:space="preserve">iza stava (2) dodaje se novi stav (3) koji glasi: </w:t>
      </w:r>
    </w:p>
    <w:p w14:paraId="40EB052F" w14:textId="68F05837" w:rsidR="00513C8E" w:rsidRPr="00B733E9" w:rsidRDefault="00513C8E" w:rsidP="00903198">
      <w:pPr>
        <w:pStyle w:val="NoSpacing"/>
        <w:jc w:val="both"/>
        <w:rPr>
          <w:rFonts w:ascii="Arial" w:hAnsi="Arial" w:cs="Arial"/>
        </w:rPr>
      </w:pPr>
      <w:r w:rsidRPr="00B733E9">
        <w:rPr>
          <w:rFonts w:ascii="Arial" w:hAnsi="Arial" w:cs="Arial"/>
        </w:rPr>
        <w:t>„(3) Obveznik mjere identifikacije može povjeriti samo trećim licima  za koja  se uvjerio da primjenjuje mjere  identifikacije i praćenja  koje su istovjetne  ili strožije u odnosu na mjere  identifikacije propisane  Zakonom o SPN/FTA i da su predmet adekvatnog nadzora primjene ovih mjera.</w:t>
      </w:r>
      <w:r w:rsidR="00B733E9" w:rsidRPr="00B733E9">
        <w:rPr>
          <w:rFonts w:ascii="Arial" w:hAnsi="Arial" w:cs="Arial"/>
        </w:rPr>
        <w:t>“</w:t>
      </w:r>
    </w:p>
    <w:p w14:paraId="1557FAA5" w14:textId="6BFDDD39" w:rsidR="00513C8E" w:rsidRPr="00B733E9" w:rsidRDefault="00513C8E" w:rsidP="00903198">
      <w:pPr>
        <w:pStyle w:val="NoSpacing"/>
        <w:jc w:val="both"/>
        <w:rPr>
          <w:rFonts w:ascii="Arial" w:hAnsi="Arial" w:cs="Arial"/>
        </w:rPr>
      </w:pPr>
    </w:p>
    <w:p w14:paraId="0CBD2397" w14:textId="71D96476" w:rsidR="00513C8E" w:rsidRPr="00B733E9" w:rsidRDefault="00513C8E" w:rsidP="00903198">
      <w:pPr>
        <w:pStyle w:val="NoSpacing"/>
        <w:jc w:val="both"/>
        <w:rPr>
          <w:rFonts w:ascii="Arial" w:hAnsi="Arial" w:cs="Arial"/>
        </w:rPr>
      </w:pPr>
      <w:r w:rsidRPr="00B733E9">
        <w:rPr>
          <w:rFonts w:ascii="Arial" w:hAnsi="Arial" w:cs="Arial"/>
        </w:rPr>
        <w:t>Dosadašnji stavovi (3) do (</w:t>
      </w:r>
      <w:r w:rsidR="006F500F">
        <w:rPr>
          <w:rFonts w:ascii="Arial" w:hAnsi="Arial" w:cs="Arial"/>
        </w:rPr>
        <w:t>6</w:t>
      </w:r>
      <w:r w:rsidRPr="00B733E9">
        <w:rPr>
          <w:rFonts w:ascii="Arial" w:hAnsi="Arial" w:cs="Arial"/>
        </w:rPr>
        <w:t>) postaju (4) do (</w:t>
      </w:r>
      <w:r w:rsidR="006F500F">
        <w:rPr>
          <w:rFonts w:ascii="Arial" w:hAnsi="Arial" w:cs="Arial"/>
        </w:rPr>
        <w:t>7</w:t>
      </w:r>
      <w:r w:rsidRPr="00B733E9">
        <w:rPr>
          <w:rFonts w:ascii="Arial" w:hAnsi="Arial" w:cs="Arial"/>
        </w:rPr>
        <w:t xml:space="preserve">). </w:t>
      </w:r>
    </w:p>
    <w:p w14:paraId="39B054CB" w14:textId="77777777" w:rsidR="00513C8E" w:rsidRPr="00B733E9" w:rsidRDefault="00513C8E" w:rsidP="00903198">
      <w:pPr>
        <w:pStyle w:val="NoSpacing"/>
        <w:jc w:val="both"/>
        <w:rPr>
          <w:rFonts w:ascii="Arial" w:hAnsi="Arial" w:cs="Arial"/>
        </w:rPr>
      </w:pPr>
    </w:p>
    <w:p w14:paraId="4960C80D" w14:textId="77777777" w:rsidR="00513C8E" w:rsidRPr="00B733E9" w:rsidRDefault="00513C8E" w:rsidP="00513C8E">
      <w:pPr>
        <w:pStyle w:val="NoSpacing"/>
        <w:jc w:val="both"/>
        <w:rPr>
          <w:rFonts w:ascii="Arial" w:hAnsi="Arial" w:cs="Arial"/>
        </w:rPr>
      </w:pPr>
      <w:r w:rsidRPr="00B733E9">
        <w:rPr>
          <w:rFonts w:ascii="Arial" w:hAnsi="Arial" w:cs="Arial"/>
        </w:rPr>
        <w:t>Iza stava (6) dodaje se novi stav (7) koji glasi:</w:t>
      </w:r>
    </w:p>
    <w:p w14:paraId="40AC9C67" w14:textId="489320BF" w:rsidR="00513C8E" w:rsidRPr="00B733E9" w:rsidRDefault="00513C8E" w:rsidP="00513C8E">
      <w:pPr>
        <w:pStyle w:val="NoSpacing"/>
        <w:jc w:val="both"/>
        <w:rPr>
          <w:rFonts w:ascii="Arial" w:hAnsi="Arial" w:cs="Arial"/>
        </w:rPr>
      </w:pPr>
      <w:r w:rsidRPr="00B733E9">
        <w:rPr>
          <w:rFonts w:ascii="Arial" w:hAnsi="Arial" w:cs="Arial"/>
        </w:rPr>
        <w:t>„</w:t>
      </w:r>
      <w:r w:rsidR="006F500F">
        <w:rPr>
          <w:rFonts w:ascii="Arial" w:hAnsi="Arial" w:cs="Arial"/>
        </w:rPr>
        <w:t xml:space="preserve"> (7) </w:t>
      </w:r>
      <w:r w:rsidRPr="00B733E9">
        <w:rPr>
          <w:rFonts w:ascii="Arial" w:hAnsi="Arial" w:cs="Arial"/>
        </w:rPr>
        <w:t xml:space="preserve">Mjere </w:t>
      </w:r>
      <w:proofErr w:type="spellStart"/>
      <w:r w:rsidRPr="00B733E9">
        <w:rPr>
          <w:rFonts w:ascii="Arial" w:hAnsi="Arial" w:cs="Arial"/>
        </w:rPr>
        <w:t>praćenja</w:t>
      </w:r>
      <w:proofErr w:type="spellEnd"/>
      <w:r w:rsidRPr="00B733E9">
        <w:rPr>
          <w:rFonts w:ascii="Arial" w:hAnsi="Arial" w:cs="Arial"/>
        </w:rPr>
        <w:t xml:space="preserve">  transakcija i aktivnosti klijenata koje su propisane Zakonom o SPN/FTA i provedbenim propisima ne mogu se povjeriti trećem licu. Obveznik je  dužan da iste u potpunosti samostalno provodi  u okviru obavljanja  svojih redovnih zadataka.“</w:t>
      </w:r>
      <w:r w:rsidR="006F500F">
        <w:rPr>
          <w:rFonts w:ascii="Arial" w:hAnsi="Arial" w:cs="Arial"/>
        </w:rPr>
        <w:t>.</w:t>
      </w:r>
    </w:p>
    <w:p w14:paraId="11479DF1" w14:textId="77777777" w:rsidR="00513C8E" w:rsidRPr="00B733E9" w:rsidRDefault="00513C8E" w:rsidP="00513C8E">
      <w:pPr>
        <w:pStyle w:val="NoSpacing"/>
        <w:jc w:val="both"/>
        <w:rPr>
          <w:rFonts w:ascii="Arial" w:hAnsi="Arial" w:cs="Arial"/>
        </w:rPr>
      </w:pPr>
    </w:p>
    <w:p w14:paraId="7733DC92" w14:textId="5C70B9C7" w:rsidR="00513C8E" w:rsidRPr="00B733E9" w:rsidRDefault="00513C8E" w:rsidP="00513C8E">
      <w:pPr>
        <w:pStyle w:val="NoSpacing"/>
        <w:jc w:val="both"/>
        <w:rPr>
          <w:rFonts w:ascii="Arial" w:hAnsi="Arial" w:cs="Arial"/>
        </w:rPr>
      </w:pPr>
      <w:r w:rsidRPr="00B733E9">
        <w:rPr>
          <w:rFonts w:ascii="Arial" w:hAnsi="Arial" w:cs="Arial"/>
        </w:rPr>
        <w:t>Dosadašnji stav (</w:t>
      </w:r>
      <w:r w:rsidR="007B16D6">
        <w:rPr>
          <w:rFonts w:ascii="Arial" w:hAnsi="Arial" w:cs="Arial"/>
        </w:rPr>
        <w:t>7</w:t>
      </w:r>
      <w:r w:rsidRPr="00B733E9">
        <w:rPr>
          <w:rFonts w:ascii="Arial" w:hAnsi="Arial" w:cs="Arial"/>
        </w:rPr>
        <w:t>) postaje stav (8).</w:t>
      </w:r>
    </w:p>
    <w:p w14:paraId="17537B23" w14:textId="77777777" w:rsidR="00513C8E" w:rsidRDefault="00513C8E" w:rsidP="00513C8E">
      <w:pPr>
        <w:pStyle w:val="NoSpacing"/>
        <w:jc w:val="both"/>
        <w:rPr>
          <w:rFonts w:ascii="Arial" w:hAnsi="Arial" w:cs="Arial"/>
          <w:color w:val="EE0000"/>
        </w:rPr>
      </w:pPr>
    </w:p>
    <w:p w14:paraId="54DF23F1" w14:textId="6DB798BA" w:rsidR="00513C8E" w:rsidRDefault="00513C8E" w:rsidP="00513C8E">
      <w:pPr>
        <w:pStyle w:val="NoSpacing"/>
        <w:jc w:val="center"/>
        <w:rPr>
          <w:rFonts w:ascii="Arial" w:hAnsi="Arial" w:cs="Arial"/>
        </w:rPr>
      </w:pPr>
      <w:r w:rsidRPr="00513C8E">
        <w:rPr>
          <w:rFonts w:ascii="Arial" w:hAnsi="Arial" w:cs="Arial"/>
        </w:rPr>
        <w:t>Član 2</w:t>
      </w:r>
      <w:r w:rsidR="00AF64BF">
        <w:rPr>
          <w:rFonts w:ascii="Arial" w:hAnsi="Arial" w:cs="Arial"/>
        </w:rPr>
        <w:t>1</w:t>
      </w:r>
      <w:r w:rsidRPr="00513C8E">
        <w:rPr>
          <w:rFonts w:ascii="Arial" w:hAnsi="Arial" w:cs="Arial"/>
        </w:rPr>
        <w:t>.</w:t>
      </w:r>
    </w:p>
    <w:p w14:paraId="392146BC" w14:textId="06781A90" w:rsidR="00513C8E" w:rsidRDefault="00513C8E" w:rsidP="00513C8E">
      <w:pPr>
        <w:pStyle w:val="NoSpacing"/>
        <w:jc w:val="both"/>
        <w:rPr>
          <w:rFonts w:ascii="Arial" w:hAnsi="Arial" w:cs="Arial"/>
        </w:rPr>
      </w:pPr>
      <w:r>
        <w:rPr>
          <w:rFonts w:ascii="Arial" w:hAnsi="Arial" w:cs="Arial"/>
        </w:rPr>
        <w:t>Iza člana 43. dodaje se novi član 43a. koji glasi:</w:t>
      </w:r>
    </w:p>
    <w:p w14:paraId="272CC437" w14:textId="77777777" w:rsidR="00B733E9" w:rsidRDefault="00B733E9" w:rsidP="00513C8E">
      <w:pPr>
        <w:pStyle w:val="NoSpacing"/>
        <w:jc w:val="both"/>
        <w:rPr>
          <w:rFonts w:ascii="Arial" w:hAnsi="Arial" w:cs="Arial"/>
        </w:rPr>
      </w:pPr>
    </w:p>
    <w:p w14:paraId="00CA30C7" w14:textId="45177677" w:rsidR="00513C8E" w:rsidRDefault="00513C8E" w:rsidP="00513C8E">
      <w:pPr>
        <w:pStyle w:val="NoSpacing"/>
        <w:jc w:val="center"/>
        <w:rPr>
          <w:rFonts w:ascii="Arial" w:hAnsi="Arial" w:cs="Arial"/>
        </w:rPr>
      </w:pPr>
      <w:r>
        <w:rPr>
          <w:rFonts w:ascii="Arial" w:hAnsi="Arial" w:cs="Arial"/>
        </w:rPr>
        <w:t>„</w:t>
      </w:r>
      <w:r w:rsidRPr="00513C8E">
        <w:rPr>
          <w:rFonts w:ascii="Arial" w:hAnsi="Arial" w:cs="Arial"/>
        </w:rPr>
        <w:t>Ažuriranje dokumentacije</w:t>
      </w:r>
    </w:p>
    <w:p w14:paraId="1CF45628" w14:textId="77777777" w:rsidR="00B733E9" w:rsidRPr="00513C8E" w:rsidRDefault="00B733E9" w:rsidP="00513C8E">
      <w:pPr>
        <w:pStyle w:val="NoSpacing"/>
        <w:jc w:val="center"/>
        <w:rPr>
          <w:rFonts w:ascii="Arial" w:hAnsi="Arial" w:cs="Arial"/>
        </w:rPr>
      </w:pPr>
    </w:p>
    <w:p w14:paraId="67BDFFF5" w14:textId="77777777" w:rsidR="00513C8E" w:rsidRDefault="00513C8E" w:rsidP="00513C8E">
      <w:pPr>
        <w:pStyle w:val="NoSpacing"/>
        <w:jc w:val="center"/>
        <w:rPr>
          <w:rFonts w:ascii="Arial" w:hAnsi="Arial" w:cs="Arial"/>
        </w:rPr>
      </w:pPr>
      <w:r w:rsidRPr="00513C8E">
        <w:rPr>
          <w:rFonts w:ascii="Arial" w:hAnsi="Arial" w:cs="Arial"/>
        </w:rPr>
        <w:t>Član 43a.</w:t>
      </w:r>
    </w:p>
    <w:p w14:paraId="0048D206" w14:textId="77777777" w:rsidR="00B733E9" w:rsidRPr="00513C8E" w:rsidRDefault="00B733E9" w:rsidP="00513C8E">
      <w:pPr>
        <w:pStyle w:val="NoSpacing"/>
        <w:jc w:val="center"/>
        <w:rPr>
          <w:rFonts w:ascii="Arial" w:hAnsi="Arial" w:cs="Arial"/>
        </w:rPr>
      </w:pPr>
    </w:p>
    <w:p w14:paraId="7F1146A6" w14:textId="77777777" w:rsidR="00513C8E" w:rsidRPr="00513C8E" w:rsidRDefault="00513C8E" w:rsidP="00513C8E">
      <w:pPr>
        <w:pStyle w:val="NoSpacing"/>
        <w:jc w:val="both"/>
        <w:rPr>
          <w:rFonts w:ascii="Arial" w:hAnsi="Arial" w:cs="Arial"/>
        </w:rPr>
      </w:pPr>
      <w:r w:rsidRPr="00513C8E">
        <w:rPr>
          <w:rFonts w:ascii="Arial" w:hAnsi="Arial" w:cs="Arial"/>
        </w:rPr>
        <w:t>(1) Obveznici će voditi računa o valjanosti i relevantnosti informacija, podataka i dokumentacije, koji su osnov za identifikaciju klijenta i transakcije, tako što će vršiti redovne provjere postojećih dokumenata za vrijeme trajanja poslovnog odnosa. U slučaju značajnih transakcija, značajnih izmjena u načinu obavljanja transakcija od strane klijenta, ili drugih značajnih promjena zbog kojih se javlja potreba za ponovnom provjerom odnosa s klijentom, trebaju se zahtijevati i/ili prikupiti nove ili dodatne informacije i dokumentaciju za identifikaciju.</w:t>
      </w:r>
    </w:p>
    <w:p w14:paraId="3461F824" w14:textId="0966A350" w:rsidR="00513C8E" w:rsidRDefault="00513C8E" w:rsidP="00513C8E">
      <w:pPr>
        <w:pStyle w:val="NoSpacing"/>
        <w:jc w:val="both"/>
        <w:rPr>
          <w:rFonts w:ascii="Arial" w:hAnsi="Arial" w:cs="Arial"/>
        </w:rPr>
      </w:pPr>
      <w:r w:rsidRPr="00513C8E">
        <w:rPr>
          <w:rFonts w:ascii="Arial" w:hAnsi="Arial" w:cs="Arial"/>
        </w:rPr>
        <w:t>(2) Za klijente sa kojima je obveznik ranije uspostavio poslovni odnos, proveo mjere identifikacije i praćenja klijenta, te klijentu na osnovu procijenjenog rizika omogućio raspolaganje elektronskim kanalom distribucije proizvoda ili usluge, sa svim primjenjivim elementima zaštite i autentifikacije korištenja tog kanala distribucije, obveznik može u toku trajanja poslovnog odnosa od klijenta obezbijediti važeći identifikacioni dokument kroz takav kanal distribucije, ukoliko je isti istekao nakon uspostave poslovnog odnosa, uz osiguranje zapisa o datumu i vremenu kada je izvršeno pribavljanje ažuriranog dokumenta.</w:t>
      </w:r>
      <w:r>
        <w:rPr>
          <w:rFonts w:ascii="Arial" w:hAnsi="Arial" w:cs="Arial"/>
        </w:rPr>
        <w:t>“</w:t>
      </w:r>
    </w:p>
    <w:p w14:paraId="6B71D13B" w14:textId="77777777" w:rsidR="005C1474" w:rsidRDefault="005C1474" w:rsidP="00513C8E">
      <w:pPr>
        <w:pStyle w:val="NoSpacing"/>
        <w:jc w:val="both"/>
        <w:rPr>
          <w:rFonts w:ascii="Arial" w:hAnsi="Arial" w:cs="Arial"/>
        </w:rPr>
      </w:pPr>
    </w:p>
    <w:p w14:paraId="0CCEF24A" w14:textId="1E8DC5F1" w:rsidR="005C1474" w:rsidRDefault="005C1474" w:rsidP="005C1474">
      <w:pPr>
        <w:pStyle w:val="NoSpacing"/>
        <w:jc w:val="center"/>
        <w:rPr>
          <w:rFonts w:ascii="Arial" w:hAnsi="Arial" w:cs="Arial"/>
        </w:rPr>
      </w:pPr>
      <w:r>
        <w:rPr>
          <w:rFonts w:ascii="Arial" w:hAnsi="Arial" w:cs="Arial"/>
        </w:rPr>
        <w:t>Član 2</w:t>
      </w:r>
      <w:r w:rsidR="00AF64BF">
        <w:rPr>
          <w:rFonts w:ascii="Arial" w:hAnsi="Arial" w:cs="Arial"/>
        </w:rPr>
        <w:t>2</w:t>
      </w:r>
      <w:r>
        <w:rPr>
          <w:rFonts w:ascii="Arial" w:hAnsi="Arial" w:cs="Arial"/>
        </w:rPr>
        <w:t>.</w:t>
      </w:r>
    </w:p>
    <w:p w14:paraId="289187A2" w14:textId="46789851" w:rsidR="005C1474" w:rsidRPr="005C1474" w:rsidRDefault="005C1474" w:rsidP="005C1474">
      <w:pPr>
        <w:pStyle w:val="NoSpacing"/>
        <w:jc w:val="both"/>
        <w:rPr>
          <w:rFonts w:ascii="Arial" w:hAnsi="Arial" w:cs="Arial"/>
        </w:rPr>
      </w:pPr>
      <w:r>
        <w:rPr>
          <w:rFonts w:ascii="Arial" w:hAnsi="Arial" w:cs="Arial"/>
        </w:rPr>
        <w:t xml:space="preserve">Obveznik iz člana 2. ovih Smjernica je dužan uskladiti svoje poslovanje sa odredbama ovih Smjernica najkasnije u roku od </w:t>
      </w:r>
      <w:r w:rsidRPr="00F24427">
        <w:rPr>
          <w:rFonts w:ascii="Arial" w:hAnsi="Arial" w:cs="Arial"/>
        </w:rPr>
        <w:t xml:space="preserve">60 </w:t>
      </w:r>
      <w:r>
        <w:rPr>
          <w:rFonts w:ascii="Arial" w:hAnsi="Arial" w:cs="Arial"/>
        </w:rPr>
        <w:t xml:space="preserve">dana od dana stupanja na snagu </w:t>
      </w:r>
      <w:r w:rsidR="00B733E9">
        <w:rPr>
          <w:rFonts w:ascii="Arial" w:hAnsi="Arial" w:cs="Arial"/>
        </w:rPr>
        <w:t>ovih Smjernica</w:t>
      </w:r>
      <w:r>
        <w:rPr>
          <w:rFonts w:ascii="Arial" w:hAnsi="Arial" w:cs="Arial"/>
        </w:rPr>
        <w:t xml:space="preserve">.  </w:t>
      </w:r>
    </w:p>
    <w:p w14:paraId="3DC62CA3" w14:textId="77777777" w:rsidR="005C1474" w:rsidRDefault="005C1474" w:rsidP="005C1474">
      <w:pPr>
        <w:pStyle w:val="NoSpacing"/>
        <w:jc w:val="center"/>
        <w:rPr>
          <w:rFonts w:ascii="Arial" w:hAnsi="Arial" w:cs="Arial"/>
        </w:rPr>
      </w:pPr>
    </w:p>
    <w:p w14:paraId="0FA860F1" w14:textId="61FA2563" w:rsidR="005C1474" w:rsidRPr="005C1474" w:rsidRDefault="005C1474" w:rsidP="005C1474">
      <w:pPr>
        <w:pStyle w:val="NoSpacing"/>
        <w:jc w:val="center"/>
        <w:rPr>
          <w:rFonts w:ascii="Arial" w:hAnsi="Arial" w:cs="Arial"/>
        </w:rPr>
      </w:pPr>
      <w:r>
        <w:rPr>
          <w:rFonts w:ascii="Arial" w:hAnsi="Arial" w:cs="Arial"/>
        </w:rPr>
        <w:t>Član 2</w:t>
      </w:r>
      <w:r w:rsidR="00AF64BF">
        <w:rPr>
          <w:rFonts w:ascii="Arial" w:hAnsi="Arial" w:cs="Arial"/>
        </w:rPr>
        <w:t>3</w:t>
      </w:r>
      <w:r>
        <w:rPr>
          <w:rFonts w:ascii="Arial" w:hAnsi="Arial" w:cs="Arial"/>
        </w:rPr>
        <w:t>.</w:t>
      </w:r>
    </w:p>
    <w:p w14:paraId="45CFED6F" w14:textId="60CC5A1E" w:rsidR="005C1474" w:rsidRDefault="005C1474" w:rsidP="005C1474">
      <w:pPr>
        <w:pStyle w:val="NoSpacing"/>
        <w:jc w:val="both"/>
        <w:rPr>
          <w:rFonts w:ascii="Arial" w:hAnsi="Arial" w:cs="Arial"/>
        </w:rPr>
      </w:pPr>
      <w:r w:rsidRPr="005C1474">
        <w:rPr>
          <w:rFonts w:ascii="Arial" w:hAnsi="Arial" w:cs="Arial"/>
        </w:rPr>
        <w:t>Ov</w:t>
      </w:r>
      <w:r>
        <w:rPr>
          <w:rFonts w:ascii="Arial" w:hAnsi="Arial" w:cs="Arial"/>
        </w:rPr>
        <w:t>e Smjernice</w:t>
      </w:r>
      <w:r w:rsidRPr="005C1474">
        <w:rPr>
          <w:rFonts w:ascii="Arial" w:hAnsi="Arial" w:cs="Arial"/>
        </w:rPr>
        <w:t xml:space="preserve"> stupa</w:t>
      </w:r>
      <w:r>
        <w:rPr>
          <w:rFonts w:ascii="Arial" w:hAnsi="Arial" w:cs="Arial"/>
        </w:rPr>
        <w:t>ju</w:t>
      </w:r>
      <w:r w:rsidRPr="005C1474">
        <w:rPr>
          <w:rFonts w:ascii="Arial" w:hAnsi="Arial" w:cs="Arial"/>
        </w:rPr>
        <w:t xml:space="preserve"> na snagu osmog dana od dana objav</w:t>
      </w:r>
      <w:r w:rsidR="00B733E9">
        <w:rPr>
          <w:rFonts w:ascii="Arial" w:hAnsi="Arial" w:cs="Arial"/>
        </w:rPr>
        <w:t>e</w:t>
      </w:r>
      <w:r w:rsidRPr="005C1474">
        <w:rPr>
          <w:rFonts w:ascii="Arial" w:hAnsi="Arial" w:cs="Arial"/>
        </w:rPr>
        <w:t xml:space="preserve"> u „Službenim novinama Federacije Bosne i Hercegovine“.</w:t>
      </w:r>
    </w:p>
    <w:p w14:paraId="106A61CE" w14:textId="77777777" w:rsidR="005C1474" w:rsidRDefault="005C1474" w:rsidP="005C1474">
      <w:pPr>
        <w:pStyle w:val="NoSpacing"/>
        <w:jc w:val="both"/>
        <w:rPr>
          <w:rFonts w:ascii="Arial" w:hAnsi="Arial" w:cs="Arial"/>
        </w:rPr>
      </w:pPr>
    </w:p>
    <w:p w14:paraId="105FE3E3" w14:textId="3478124D" w:rsidR="005C1474" w:rsidRPr="00B01FE0" w:rsidRDefault="005C1474" w:rsidP="005C1474">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B01FE0">
        <w:rPr>
          <w:rFonts w:ascii="Arial" w:hAnsi="Arial" w:cs="Arial"/>
        </w:rPr>
        <w:t xml:space="preserve">PREDSJEDNIK </w:t>
      </w:r>
    </w:p>
    <w:p w14:paraId="49B63BFA" w14:textId="77777777" w:rsidR="005C1474" w:rsidRPr="00B01FE0" w:rsidRDefault="005C1474" w:rsidP="005C1474">
      <w:pPr>
        <w:spacing w:after="0" w:line="240" w:lineRule="auto"/>
        <w:rPr>
          <w:rFonts w:ascii="Arial" w:hAnsi="Arial" w:cs="Arial"/>
        </w:rPr>
      </w:pPr>
      <w:r>
        <w:rPr>
          <w:rFonts w:ascii="Arial" w:hAnsi="Arial" w:cs="Arial"/>
        </w:rPr>
        <w:t xml:space="preserve">                                                                                                          </w:t>
      </w:r>
      <w:r w:rsidRPr="00B01FE0">
        <w:rPr>
          <w:rFonts w:ascii="Arial" w:hAnsi="Arial" w:cs="Arial"/>
        </w:rPr>
        <w:t>STRUČNOG</w:t>
      </w:r>
      <w:r>
        <w:rPr>
          <w:rFonts w:ascii="Arial" w:hAnsi="Arial" w:cs="Arial"/>
        </w:rPr>
        <w:t xml:space="preserve"> </w:t>
      </w:r>
      <w:r w:rsidRPr="00B01FE0">
        <w:rPr>
          <w:rFonts w:ascii="Arial" w:hAnsi="Arial" w:cs="Arial"/>
        </w:rPr>
        <w:t>SAVJETA</w:t>
      </w:r>
    </w:p>
    <w:p w14:paraId="6F27CEB8" w14:textId="77777777" w:rsidR="005C1474" w:rsidRPr="00B01FE0" w:rsidRDefault="005C1474" w:rsidP="005C1474">
      <w:pPr>
        <w:spacing w:after="0" w:line="240" w:lineRule="auto"/>
        <w:jc w:val="right"/>
        <w:rPr>
          <w:rFonts w:ascii="Arial" w:hAnsi="Arial" w:cs="Arial"/>
        </w:rPr>
      </w:pPr>
    </w:p>
    <w:p w14:paraId="65324E12" w14:textId="1479039C" w:rsidR="005C1474" w:rsidRPr="00B01FE0" w:rsidRDefault="005C1474" w:rsidP="005C1474">
      <w:pPr>
        <w:spacing w:after="0" w:line="240" w:lineRule="auto"/>
        <w:rPr>
          <w:rFonts w:ascii="Arial" w:hAnsi="Arial" w:cs="Arial"/>
        </w:rPr>
      </w:pPr>
      <w:r>
        <w:rPr>
          <w:rFonts w:ascii="Arial" w:hAnsi="Arial" w:cs="Arial"/>
        </w:rPr>
        <w:t xml:space="preserve">                                                                                                           </w:t>
      </w:r>
      <w:r w:rsidR="00EA5CE1">
        <w:rPr>
          <w:rFonts w:ascii="Arial" w:hAnsi="Arial" w:cs="Arial"/>
        </w:rPr>
        <w:t xml:space="preserve">     Damir Hadžić</w:t>
      </w:r>
    </w:p>
    <w:p w14:paraId="55E9F1AA" w14:textId="77777777" w:rsidR="005C1474" w:rsidRPr="00B01FE0" w:rsidRDefault="005C1474" w:rsidP="005C1474">
      <w:pPr>
        <w:spacing w:after="0" w:line="240" w:lineRule="auto"/>
        <w:jc w:val="right"/>
        <w:rPr>
          <w:rFonts w:ascii="Arial" w:hAnsi="Arial" w:cs="Arial"/>
        </w:rPr>
      </w:pPr>
    </w:p>
    <w:p w14:paraId="0AE8DA88" w14:textId="77777777" w:rsidR="005C1474" w:rsidRPr="00B01FE0" w:rsidRDefault="005C1474" w:rsidP="005C1474">
      <w:pPr>
        <w:spacing w:after="0" w:line="240" w:lineRule="auto"/>
        <w:jc w:val="right"/>
        <w:rPr>
          <w:rFonts w:ascii="Arial" w:hAnsi="Arial" w:cs="Arial"/>
        </w:rPr>
      </w:pPr>
    </w:p>
    <w:p w14:paraId="221449BB" w14:textId="77777777" w:rsidR="005C1474" w:rsidRDefault="005C1474" w:rsidP="005C1474">
      <w:pPr>
        <w:spacing w:after="0" w:line="240" w:lineRule="auto"/>
        <w:jc w:val="both"/>
        <w:rPr>
          <w:rFonts w:ascii="Arial" w:hAnsi="Arial" w:cs="Arial"/>
        </w:rPr>
      </w:pPr>
    </w:p>
    <w:p w14:paraId="7F5D58DB" w14:textId="77777777" w:rsidR="005C1474" w:rsidRDefault="005C1474" w:rsidP="005C1474">
      <w:pPr>
        <w:spacing w:after="0" w:line="240" w:lineRule="auto"/>
        <w:jc w:val="both"/>
        <w:rPr>
          <w:rFonts w:ascii="Arial" w:hAnsi="Arial" w:cs="Arial"/>
        </w:rPr>
      </w:pPr>
    </w:p>
    <w:p w14:paraId="3B26C62A" w14:textId="77777777" w:rsidR="005C1474" w:rsidRPr="00B01FE0" w:rsidRDefault="005C1474" w:rsidP="005C1474">
      <w:pPr>
        <w:spacing w:after="0" w:line="240" w:lineRule="auto"/>
        <w:jc w:val="both"/>
        <w:rPr>
          <w:rFonts w:ascii="Arial" w:hAnsi="Arial" w:cs="Arial"/>
        </w:rPr>
      </w:pPr>
      <w:r w:rsidRPr="00B01FE0">
        <w:rPr>
          <w:rFonts w:ascii="Arial" w:hAnsi="Arial" w:cs="Arial"/>
        </w:rPr>
        <w:t>Broj:</w:t>
      </w:r>
    </w:p>
    <w:p w14:paraId="598D15CB" w14:textId="38968715" w:rsidR="005C1474" w:rsidRPr="00B01FE0" w:rsidRDefault="005C1474" w:rsidP="005C1474">
      <w:pPr>
        <w:spacing w:after="0" w:line="240" w:lineRule="auto"/>
        <w:jc w:val="both"/>
        <w:rPr>
          <w:rFonts w:ascii="Arial" w:hAnsi="Arial" w:cs="Arial"/>
        </w:rPr>
      </w:pPr>
      <w:r w:rsidRPr="00B01FE0">
        <w:rPr>
          <w:rFonts w:ascii="Arial" w:hAnsi="Arial" w:cs="Arial"/>
        </w:rPr>
        <w:t>Sarajevo,</w:t>
      </w:r>
      <w:r>
        <w:rPr>
          <w:rFonts w:ascii="Arial" w:hAnsi="Arial" w:cs="Arial"/>
        </w:rPr>
        <w:t xml:space="preserve"> __.__.</w:t>
      </w:r>
      <w:r w:rsidRPr="00B01FE0">
        <w:rPr>
          <w:rFonts w:ascii="Arial" w:hAnsi="Arial" w:cs="Arial"/>
        </w:rPr>
        <w:t>202</w:t>
      </w:r>
      <w:r>
        <w:rPr>
          <w:rFonts w:ascii="Arial" w:hAnsi="Arial" w:cs="Arial"/>
        </w:rPr>
        <w:t>6</w:t>
      </w:r>
      <w:r w:rsidRPr="00B01FE0">
        <w:rPr>
          <w:rFonts w:ascii="Arial" w:hAnsi="Arial" w:cs="Arial"/>
        </w:rPr>
        <w:t>. godine</w:t>
      </w:r>
    </w:p>
    <w:p w14:paraId="3C2C73B6" w14:textId="77777777" w:rsidR="005C1474" w:rsidRPr="00513C8E" w:rsidRDefault="005C1474" w:rsidP="005C1474">
      <w:pPr>
        <w:pStyle w:val="NoSpacing"/>
        <w:jc w:val="both"/>
        <w:rPr>
          <w:rFonts w:ascii="Arial" w:hAnsi="Arial" w:cs="Arial"/>
        </w:rPr>
      </w:pPr>
    </w:p>
    <w:sectPr w:rsidR="005C1474" w:rsidRPr="0051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4F3E"/>
    <w:multiLevelType w:val="hybridMultilevel"/>
    <w:tmpl w:val="4872A0B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EB6142"/>
    <w:multiLevelType w:val="hybridMultilevel"/>
    <w:tmpl w:val="4F9EB91A"/>
    <w:lvl w:ilvl="0" w:tplc="FFFFFFFF">
      <w:start w:val="1"/>
      <w:numFmt w:val="decimal"/>
      <w:lvlText w:val="(%1)"/>
      <w:lvlJc w:val="left"/>
      <w:pPr>
        <w:ind w:left="720" w:hanging="360"/>
      </w:pPr>
    </w:lvl>
    <w:lvl w:ilvl="1" w:tplc="AFC0DE78">
      <w:start w:val="1"/>
      <w:numFmt w:val="lowerLetter"/>
      <w:lvlText w:val="%2)"/>
      <w:lvlJc w:val="left"/>
      <w:pPr>
        <w:ind w:left="720" w:hanging="360"/>
      </w:pPr>
      <w:rPr>
        <w:rFonts w:ascii="Arial" w:eastAsiaTheme="minorHAnsi"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55308A"/>
    <w:multiLevelType w:val="hybridMultilevel"/>
    <w:tmpl w:val="71E27114"/>
    <w:lvl w:ilvl="0" w:tplc="2550DE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55E95"/>
    <w:multiLevelType w:val="hybridMultilevel"/>
    <w:tmpl w:val="40EC0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2429F"/>
    <w:multiLevelType w:val="hybridMultilevel"/>
    <w:tmpl w:val="013246E4"/>
    <w:lvl w:ilvl="0" w:tplc="4EE6228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55594"/>
    <w:multiLevelType w:val="hybridMultilevel"/>
    <w:tmpl w:val="1526B62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8A7408F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A7559"/>
    <w:multiLevelType w:val="hybridMultilevel"/>
    <w:tmpl w:val="B0E60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4344A"/>
    <w:multiLevelType w:val="hybridMultilevel"/>
    <w:tmpl w:val="DBB0B088"/>
    <w:lvl w:ilvl="0" w:tplc="04090017">
      <w:start w:val="1"/>
      <w:numFmt w:val="lowerLetter"/>
      <w:lvlText w:val="%1)"/>
      <w:lvlJc w:val="left"/>
      <w:pPr>
        <w:ind w:left="720" w:hanging="360"/>
      </w:pPr>
      <w:rPr>
        <w:rFonts w:hint="default"/>
      </w:rPr>
    </w:lvl>
    <w:lvl w:ilvl="1" w:tplc="C0F4EA7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72895"/>
    <w:multiLevelType w:val="hybridMultilevel"/>
    <w:tmpl w:val="5B2AE3C0"/>
    <w:lvl w:ilvl="0" w:tplc="B93E00AC">
      <w:start w:val="1"/>
      <w:numFmt w:val="lowerLetter"/>
      <w:lvlText w:val="%1)"/>
      <w:lvlJc w:val="left"/>
      <w:pPr>
        <w:ind w:left="780" w:hanging="360"/>
      </w:pPr>
      <w:rPr>
        <w:rFonts w:hint="default"/>
      </w:rPr>
    </w:lvl>
    <w:lvl w:ilvl="1" w:tplc="DBF4B3AC">
      <w:start w:val="1"/>
      <w:numFmt w:val="decimal"/>
      <w:lvlText w:val="(%2)"/>
      <w:lvlJc w:val="left"/>
      <w:pPr>
        <w:ind w:left="1575" w:hanging="435"/>
      </w:pPr>
      <w:rPr>
        <w:rFonts w:hint="default"/>
      </w:r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9" w15:restartNumberingAfterBreak="0">
    <w:nsid w:val="39302E92"/>
    <w:multiLevelType w:val="hybridMultilevel"/>
    <w:tmpl w:val="05FE60D0"/>
    <w:lvl w:ilvl="0" w:tplc="6688D834">
      <w:start w:val="1"/>
      <w:numFmt w:val="decimal"/>
      <w:lvlText w:val="(%1)"/>
      <w:lvlJc w:val="left"/>
      <w:pPr>
        <w:ind w:left="420" w:hanging="360"/>
      </w:pPr>
      <w:rPr>
        <w:rFonts w:hint="default"/>
      </w:rPr>
    </w:lvl>
    <w:lvl w:ilvl="1" w:tplc="141A0019" w:tentative="1">
      <w:start w:val="1"/>
      <w:numFmt w:val="lowerLetter"/>
      <w:lvlText w:val="%2."/>
      <w:lvlJc w:val="left"/>
      <w:pPr>
        <w:ind w:left="1140" w:hanging="360"/>
      </w:pPr>
    </w:lvl>
    <w:lvl w:ilvl="2" w:tplc="141A001B" w:tentative="1">
      <w:start w:val="1"/>
      <w:numFmt w:val="lowerRoman"/>
      <w:lvlText w:val="%3."/>
      <w:lvlJc w:val="right"/>
      <w:pPr>
        <w:ind w:left="1860" w:hanging="180"/>
      </w:pPr>
    </w:lvl>
    <w:lvl w:ilvl="3" w:tplc="141A000F" w:tentative="1">
      <w:start w:val="1"/>
      <w:numFmt w:val="decimal"/>
      <w:lvlText w:val="%4."/>
      <w:lvlJc w:val="left"/>
      <w:pPr>
        <w:ind w:left="2580" w:hanging="360"/>
      </w:pPr>
    </w:lvl>
    <w:lvl w:ilvl="4" w:tplc="141A0019" w:tentative="1">
      <w:start w:val="1"/>
      <w:numFmt w:val="lowerLetter"/>
      <w:lvlText w:val="%5."/>
      <w:lvlJc w:val="left"/>
      <w:pPr>
        <w:ind w:left="3300" w:hanging="360"/>
      </w:pPr>
    </w:lvl>
    <w:lvl w:ilvl="5" w:tplc="141A001B" w:tentative="1">
      <w:start w:val="1"/>
      <w:numFmt w:val="lowerRoman"/>
      <w:lvlText w:val="%6."/>
      <w:lvlJc w:val="right"/>
      <w:pPr>
        <w:ind w:left="4020" w:hanging="180"/>
      </w:pPr>
    </w:lvl>
    <w:lvl w:ilvl="6" w:tplc="141A000F" w:tentative="1">
      <w:start w:val="1"/>
      <w:numFmt w:val="decimal"/>
      <w:lvlText w:val="%7."/>
      <w:lvlJc w:val="left"/>
      <w:pPr>
        <w:ind w:left="4740" w:hanging="360"/>
      </w:pPr>
    </w:lvl>
    <w:lvl w:ilvl="7" w:tplc="141A0019" w:tentative="1">
      <w:start w:val="1"/>
      <w:numFmt w:val="lowerLetter"/>
      <w:lvlText w:val="%8."/>
      <w:lvlJc w:val="left"/>
      <w:pPr>
        <w:ind w:left="5460" w:hanging="360"/>
      </w:pPr>
    </w:lvl>
    <w:lvl w:ilvl="8" w:tplc="141A001B" w:tentative="1">
      <w:start w:val="1"/>
      <w:numFmt w:val="lowerRoman"/>
      <w:lvlText w:val="%9."/>
      <w:lvlJc w:val="right"/>
      <w:pPr>
        <w:ind w:left="6180" w:hanging="180"/>
      </w:pPr>
    </w:lvl>
  </w:abstractNum>
  <w:abstractNum w:abstractNumId="10" w15:restartNumberingAfterBreak="0">
    <w:nsid w:val="3AA33A0A"/>
    <w:multiLevelType w:val="hybridMultilevel"/>
    <w:tmpl w:val="4D7C1078"/>
    <w:lvl w:ilvl="0" w:tplc="990625E6">
      <w:start w:val="1"/>
      <w:numFmt w:val="decimal"/>
      <w:lvlText w:val="(%1)"/>
      <w:lvlJc w:val="left"/>
      <w:pPr>
        <w:ind w:left="720" w:hanging="360"/>
      </w:pPr>
      <w:rPr>
        <w:rFonts w:hint="default"/>
      </w:rPr>
    </w:lvl>
    <w:lvl w:ilvl="1" w:tplc="35EACB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B2512D"/>
    <w:multiLevelType w:val="hybridMultilevel"/>
    <w:tmpl w:val="E60840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45DF0"/>
    <w:multiLevelType w:val="hybridMultilevel"/>
    <w:tmpl w:val="1C9C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D7194"/>
    <w:multiLevelType w:val="hybridMultilevel"/>
    <w:tmpl w:val="D4624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17CC7"/>
    <w:multiLevelType w:val="hybridMultilevel"/>
    <w:tmpl w:val="86EA2A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83E2C"/>
    <w:multiLevelType w:val="hybridMultilevel"/>
    <w:tmpl w:val="C78E2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C4771"/>
    <w:multiLevelType w:val="hybridMultilevel"/>
    <w:tmpl w:val="DA9C4A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6E95680"/>
    <w:multiLevelType w:val="hybridMultilevel"/>
    <w:tmpl w:val="862CCF80"/>
    <w:lvl w:ilvl="0" w:tplc="B93E00AC">
      <w:start w:val="1"/>
      <w:numFmt w:val="lowerLetter"/>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73FFD"/>
    <w:multiLevelType w:val="hybridMultilevel"/>
    <w:tmpl w:val="14FA0D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120F4"/>
    <w:multiLevelType w:val="hybridMultilevel"/>
    <w:tmpl w:val="2722A6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D53BE"/>
    <w:multiLevelType w:val="hybridMultilevel"/>
    <w:tmpl w:val="8FF89E2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F0A1158"/>
    <w:multiLevelType w:val="hybridMultilevel"/>
    <w:tmpl w:val="38207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26B6F"/>
    <w:multiLevelType w:val="hybridMultilevel"/>
    <w:tmpl w:val="7B888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644C6"/>
    <w:multiLevelType w:val="hybridMultilevel"/>
    <w:tmpl w:val="0E08A422"/>
    <w:lvl w:ilvl="0" w:tplc="44C83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90A87"/>
    <w:multiLevelType w:val="hybridMultilevel"/>
    <w:tmpl w:val="13143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477AD"/>
    <w:multiLevelType w:val="hybridMultilevel"/>
    <w:tmpl w:val="41DE34B0"/>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4EE62284">
      <w:start w:val="1"/>
      <w:numFmt w:val="decimal"/>
      <w:lvlText w:val="%3)"/>
      <w:lvlJc w:val="left"/>
      <w:pPr>
        <w:ind w:left="2340" w:hanging="360"/>
      </w:pPr>
      <w:rPr>
        <w:rFonts w:hint="default"/>
        <w:color w:val="0000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86592">
    <w:abstractNumId w:val="9"/>
  </w:num>
  <w:num w:numId="2" w16cid:durableId="1650940659">
    <w:abstractNumId w:val="8"/>
  </w:num>
  <w:num w:numId="3" w16cid:durableId="614797659">
    <w:abstractNumId w:val="19"/>
  </w:num>
  <w:num w:numId="4" w16cid:durableId="424111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672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701689">
    <w:abstractNumId w:val="2"/>
  </w:num>
  <w:num w:numId="7" w16cid:durableId="1873572929">
    <w:abstractNumId w:val="7"/>
  </w:num>
  <w:num w:numId="8" w16cid:durableId="1634406256">
    <w:abstractNumId w:val="22"/>
  </w:num>
  <w:num w:numId="9" w16cid:durableId="1190755879">
    <w:abstractNumId w:val="18"/>
  </w:num>
  <w:num w:numId="10" w16cid:durableId="2077581123">
    <w:abstractNumId w:val="17"/>
  </w:num>
  <w:num w:numId="11" w16cid:durableId="123474882">
    <w:abstractNumId w:val="23"/>
  </w:num>
  <w:num w:numId="12" w16cid:durableId="1340619882">
    <w:abstractNumId w:val="15"/>
  </w:num>
  <w:num w:numId="13" w16cid:durableId="1226531415">
    <w:abstractNumId w:val="13"/>
  </w:num>
  <w:num w:numId="14" w16cid:durableId="2120485226">
    <w:abstractNumId w:val="10"/>
  </w:num>
  <w:num w:numId="15" w16cid:durableId="1595702543">
    <w:abstractNumId w:val="21"/>
  </w:num>
  <w:num w:numId="16" w16cid:durableId="1905215683">
    <w:abstractNumId w:val="3"/>
  </w:num>
  <w:num w:numId="17" w16cid:durableId="1469591840">
    <w:abstractNumId w:val="14"/>
  </w:num>
  <w:num w:numId="18" w16cid:durableId="1618028801">
    <w:abstractNumId w:val="5"/>
  </w:num>
  <w:num w:numId="19" w16cid:durableId="638075021">
    <w:abstractNumId w:val="4"/>
  </w:num>
  <w:num w:numId="20" w16cid:durableId="1895118064">
    <w:abstractNumId w:val="25"/>
  </w:num>
  <w:num w:numId="21" w16cid:durableId="127094521">
    <w:abstractNumId w:val="16"/>
  </w:num>
  <w:num w:numId="22" w16cid:durableId="1800759918">
    <w:abstractNumId w:val="20"/>
  </w:num>
  <w:num w:numId="23" w16cid:durableId="1627347822">
    <w:abstractNumId w:val="12"/>
  </w:num>
  <w:num w:numId="24" w16cid:durableId="74130555">
    <w:abstractNumId w:val="11"/>
  </w:num>
  <w:num w:numId="25" w16cid:durableId="1439570602">
    <w:abstractNumId w:val="0"/>
  </w:num>
  <w:num w:numId="26" w16cid:durableId="1430664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1012324">
    <w:abstractNumId w:val="24"/>
  </w:num>
  <w:num w:numId="28" w16cid:durableId="178195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F9"/>
    <w:rsid w:val="0005261A"/>
    <w:rsid w:val="000A4FF8"/>
    <w:rsid w:val="00100FD0"/>
    <w:rsid w:val="001F70E3"/>
    <w:rsid w:val="00217CA2"/>
    <w:rsid w:val="00263D5E"/>
    <w:rsid w:val="002A5CEF"/>
    <w:rsid w:val="0033627E"/>
    <w:rsid w:val="003612AB"/>
    <w:rsid w:val="00392B1A"/>
    <w:rsid w:val="003A38AB"/>
    <w:rsid w:val="003A43DF"/>
    <w:rsid w:val="003C6CCE"/>
    <w:rsid w:val="003D0085"/>
    <w:rsid w:val="00422EC8"/>
    <w:rsid w:val="004278AF"/>
    <w:rsid w:val="00453035"/>
    <w:rsid w:val="0047548A"/>
    <w:rsid w:val="0048308E"/>
    <w:rsid w:val="004E1936"/>
    <w:rsid w:val="004F3C27"/>
    <w:rsid w:val="00511515"/>
    <w:rsid w:val="00513C8E"/>
    <w:rsid w:val="00526B5B"/>
    <w:rsid w:val="00532F14"/>
    <w:rsid w:val="00542972"/>
    <w:rsid w:val="005A6CC9"/>
    <w:rsid w:val="005C1474"/>
    <w:rsid w:val="005C2F05"/>
    <w:rsid w:val="005C44F9"/>
    <w:rsid w:val="00640F14"/>
    <w:rsid w:val="006707C1"/>
    <w:rsid w:val="006801BF"/>
    <w:rsid w:val="006B464F"/>
    <w:rsid w:val="006E6C98"/>
    <w:rsid w:val="006F500F"/>
    <w:rsid w:val="006F5FD8"/>
    <w:rsid w:val="00700133"/>
    <w:rsid w:val="0075123B"/>
    <w:rsid w:val="007A0B5E"/>
    <w:rsid w:val="007B16D6"/>
    <w:rsid w:val="007F3E38"/>
    <w:rsid w:val="00812B00"/>
    <w:rsid w:val="008334F2"/>
    <w:rsid w:val="008A6A85"/>
    <w:rsid w:val="008C733B"/>
    <w:rsid w:val="008E1AD8"/>
    <w:rsid w:val="009006AD"/>
    <w:rsid w:val="00902155"/>
    <w:rsid w:val="00903198"/>
    <w:rsid w:val="00913ABA"/>
    <w:rsid w:val="00924631"/>
    <w:rsid w:val="0093155F"/>
    <w:rsid w:val="00947723"/>
    <w:rsid w:val="00952A7D"/>
    <w:rsid w:val="00991167"/>
    <w:rsid w:val="009C197F"/>
    <w:rsid w:val="009D0BB6"/>
    <w:rsid w:val="009D6900"/>
    <w:rsid w:val="00A6764E"/>
    <w:rsid w:val="00A74B7D"/>
    <w:rsid w:val="00AD1A2F"/>
    <w:rsid w:val="00AE672B"/>
    <w:rsid w:val="00AF64BF"/>
    <w:rsid w:val="00B21F19"/>
    <w:rsid w:val="00B4427E"/>
    <w:rsid w:val="00B5678B"/>
    <w:rsid w:val="00B733E9"/>
    <w:rsid w:val="00BB2069"/>
    <w:rsid w:val="00BC3F32"/>
    <w:rsid w:val="00BE316F"/>
    <w:rsid w:val="00C03503"/>
    <w:rsid w:val="00C052A9"/>
    <w:rsid w:val="00C056A0"/>
    <w:rsid w:val="00C325AF"/>
    <w:rsid w:val="00C33161"/>
    <w:rsid w:val="00C439AF"/>
    <w:rsid w:val="00C572D1"/>
    <w:rsid w:val="00C642FB"/>
    <w:rsid w:val="00C81B77"/>
    <w:rsid w:val="00CD6E54"/>
    <w:rsid w:val="00CF52C4"/>
    <w:rsid w:val="00D42193"/>
    <w:rsid w:val="00D538A4"/>
    <w:rsid w:val="00DE32B8"/>
    <w:rsid w:val="00E1310E"/>
    <w:rsid w:val="00E30644"/>
    <w:rsid w:val="00E62BB4"/>
    <w:rsid w:val="00E74D10"/>
    <w:rsid w:val="00E8154F"/>
    <w:rsid w:val="00EA5CE1"/>
    <w:rsid w:val="00EB0FA7"/>
    <w:rsid w:val="00EB2227"/>
    <w:rsid w:val="00EF0828"/>
    <w:rsid w:val="00F24427"/>
    <w:rsid w:val="00F374C6"/>
    <w:rsid w:val="00FA3C65"/>
    <w:rsid w:val="00FA447C"/>
    <w:rsid w:val="00FA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E2BF"/>
  <w15:chartTrackingRefBased/>
  <w15:docId w15:val="{F00E777D-5025-4594-A2AF-B31DBDFB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4F9"/>
    <w:pPr>
      <w:spacing w:line="259" w:lineRule="auto"/>
    </w:pPr>
    <w:rPr>
      <w:sz w:val="22"/>
      <w:szCs w:val="22"/>
      <w:lang w:val="bs-Latn-BA"/>
    </w:rPr>
  </w:style>
  <w:style w:type="paragraph" w:styleId="Heading1">
    <w:name w:val="heading 1"/>
    <w:basedOn w:val="Normal"/>
    <w:next w:val="Normal"/>
    <w:link w:val="Heading1Char"/>
    <w:uiPriority w:val="9"/>
    <w:qFormat/>
    <w:rsid w:val="005C4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4F9"/>
    <w:rPr>
      <w:rFonts w:eastAsiaTheme="majorEastAsia" w:cstheme="majorBidi"/>
      <w:color w:val="272727" w:themeColor="text1" w:themeTint="D8"/>
    </w:rPr>
  </w:style>
  <w:style w:type="paragraph" w:styleId="Title">
    <w:name w:val="Title"/>
    <w:basedOn w:val="Normal"/>
    <w:next w:val="Normal"/>
    <w:link w:val="TitleChar"/>
    <w:uiPriority w:val="10"/>
    <w:qFormat/>
    <w:rsid w:val="005C4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4F9"/>
    <w:pPr>
      <w:spacing w:before="160"/>
      <w:jc w:val="center"/>
    </w:pPr>
    <w:rPr>
      <w:i/>
      <w:iCs/>
      <w:color w:val="404040" w:themeColor="text1" w:themeTint="BF"/>
    </w:rPr>
  </w:style>
  <w:style w:type="character" w:customStyle="1" w:styleId="QuoteChar">
    <w:name w:val="Quote Char"/>
    <w:basedOn w:val="DefaultParagraphFont"/>
    <w:link w:val="Quote"/>
    <w:uiPriority w:val="29"/>
    <w:rsid w:val="005C44F9"/>
    <w:rPr>
      <w:i/>
      <w:iCs/>
      <w:color w:val="404040" w:themeColor="text1" w:themeTint="BF"/>
    </w:rPr>
  </w:style>
  <w:style w:type="paragraph" w:styleId="ListParagraph">
    <w:name w:val="List Paragraph"/>
    <w:basedOn w:val="Normal"/>
    <w:uiPriority w:val="34"/>
    <w:qFormat/>
    <w:rsid w:val="005C44F9"/>
    <w:pPr>
      <w:ind w:left="720"/>
      <w:contextualSpacing/>
    </w:pPr>
  </w:style>
  <w:style w:type="character" w:styleId="IntenseEmphasis">
    <w:name w:val="Intense Emphasis"/>
    <w:basedOn w:val="DefaultParagraphFont"/>
    <w:uiPriority w:val="21"/>
    <w:qFormat/>
    <w:rsid w:val="005C44F9"/>
    <w:rPr>
      <w:i/>
      <w:iCs/>
      <w:color w:val="0F4761" w:themeColor="accent1" w:themeShade="BF"/>
    </w:rPr>
  </w:style>
  <w:style w:type="paragraph" w:styleId="IntenseQuote">
    <w:name w:val="Intense Quote"/>
    <w:basedOn w:val="Normal"/>
    <w:next w:val="Normal"/>
    <w:link w:val="IntenseQuoteChar"/>
    <w:uiPriority w:val="30"/>
    <w:qFormat/>
    <w:rsid w:val="005C4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4F9"/>
    <w:rPr>
      <w:i/>
      <w:iCs/>
      <w:color w:val="0F4761" w:themeColor="accent1" w:themeShade="BF"/>
    </w:rPr>
  </w:style>
  <w:style w:type="character" w:styleId="IntenseReference">
    <w:name w:val="Intense Reference"/>
    <w:basedOn w:val="DefaultParagraphFont"/>
    <w:uiPriority w:val="32"/>
    <w:qFormat/>
    <w:rsid w:val="005C44F9"/>
    <w:rPr>
      <w:b/>
      <w:bCs/>
      <w:smallCaps/>
      <w:color w:val="0F4761" w:themeColor="accent1" w:themeShade="BF"/>
      <w:spacing w:val="5"/>
    </w:rPr>
  </w:style>
  <w:style w:type="paragraph" w:styleId="NoSpacing">
    <w:name w:val="No Spacing"/>
    <w:uiPriority w:val="1"/>
    <w:qFormat/>
    <w:rsid w:val="005C44F9"/>
    <w:pPr>
      <w:spacing w:after="0" w:line="240" w:lineRule="auto"/>
    </w:pPr>
    <w:rPr>
      <w:sz w:val="22"/>
      <w:szCs w:val="22"/>
      <w:lang w:val="bs-Latn-BA"/>
    </w:rPr>
  </w:style>
  <w:style w:type="character" w:styleId="CommentReference">
    <w:name w:val="annotation reference"/>
    <w:basedOn w:val="DefaultParagraphFont"/>
    <w:uiPriority w:val="99"/>
    <w:semiHidden/>
    <w:unhideWhenUsed/>
    <w:rsid w:val="00EF0828"/>
    <w:rPr>
      <w:sz w:val="16"/>
      <w:szCs w:val="16"/>
    </w:rPr>
  </w:style>
  <w:style w:type="paragraph" w:styleId="CommentText">
    <w:name w:val="annotation text"/>
    <w:basedOn w:val="Normal"/>
    <w:link w:val="CommentTextChar"/>
    <w:uiPriority w:val="99"/>
    <w:unhideWhenUsed/>
    <w:rsid w:val="00EF0828"/>
    <w:pPr>
      <w:spacing w:line="240" w:lineRule="auto"/>
    </w:pPr>
    <w:rPr>
      <w:sz w:val="20"/>
      <w:szCs w:val="20"/>
    </w:rPr>
  </w:style>
  <w:style w:type="character" w:customStyle="1" w:styleId="CommentTextChar">
    <w:name w:val="Comment Text Char"/>
    <w:basedOn w:val="DefaultParagraphFont"/>
    <w:link w:val="CommentText"/>
    <w:uiPriority w:val="99"/>
    <w:rsid w:val="00EF0828"/>
    <w:rPr>
      <w:sz w:val="20"/>
      <w:szCs w:val="20"/>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8</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Aiša Bubica Spaho</dc:creator>
  <cp:keywords/>
  <dc:description/>
  <cp:lastModifiedBy>Ismeta Čengić</cp:lastModifiedBy>
  <cp:revision>69</cp:revision>
  <dcterms:created xsi:type="dcterms:W3CDTF">2026-03-26T12:19:00Z</dcterms:created>
  <dcterms:modified xsi:type="dcterms:W3CDTF">2026-04-13T10:48:00Z</dcterms:modified>
</cp:coreProperties>
</file>